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jc w:val="center"/>
      </w:pPr>
      <w:r>
        <w:rPr>
          <w:b/>
          <w:bCs/>
        </w:rPr>
        <w:t xml:space="preserve">CENTRO UNIVERSITÁRIO BRAZ CUBAS</w:t>
      </w:r>
    </w:p>
    <w:p>
      <w:pPr>
        <w:spacing w:after="0" w:line="360" w:lineRule="auto"/>
        <w:jc w:val="center"/>
      </w:pPr>
      <w:r>
        <w:rPr>
          <w:b/>
          <w:bCs/>
        </w:rPr>
        <w:t xml:space="preserve">CURSO DE CIÊNCIA DA COMPUTAÇÃO</w:t>
      </w:r>
    </w:p>
    <w:p>
      <w:pPr>
        <w:spacing w:after="0" w:line="360" w:lineRule="auto"/>
      </w:pPr>
    </w:p>
    <w:p>
      <w:pPr>
        <w:spacing w:after="0" w:line="360" w:lineRule="auto"/>
      </w:pPr>
    </w:p>
    <w:p>
      <w:pPr>
        <w:spacing w:after="0" w:line="360" w:lineRule="auto"/>
      </w:pPr>
    </w:p>
    <w:p>
      <w:pPr>
        <w:spacing w:after="0" w:line="360" w:lineRule="auto"/>
      </w:pPr>
    </w:p>
    <w:p>
      <w:pPr>
        <w:spacing w:after="0" w:line="360" w:lineRule="auto"/>
        <w:jc w:val="center"/>
      </w:pPr>
      <w:r>
        <w:rPr>
          <w:b/>
          <w:bCs/>
        </w:rPr>
        <w:t xml:space="preserve">IEDA DE OLIVEIRA</w:t>
      </w: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jc w:val="center"/>
      </w:pPr>
      <w:r>
        <w:rPr>
          <w:b/>
          <w:bCs/>
        </w:rPr>
        <w:t xml:space="preserve">HORTA LIMPA</w:t>
      </w:r>
    </w:p>
    <w:p>
      <w:pPr>
        <w:spacing w:after="0" w:line="360" w:lineRule="auto"/>
        <w:jc w:val="center"/>
      </w:pPr>
      <w:r>
        <w:rPr>
          <w:b/>
          <w:bCs/>
        </w:rPr>
        <w:t xml:space="preserve">UM JOGO EDUCATIVO PARA A CONSCIENTIZAÇÃO SOBRE AGROTÓXICOS NOS ALIMENTOS EM MOGI DAS CRUZES</w:t>
      </w: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jc w:val="center"/>
      </w:pPr>
      <w:r>
        <w:t xml:space="preserve">MOGI DAS CRUZES</w:t>
      </w:r>
    </w:p>
    <w:p>
      <w:pPr>
        <w:spacing w:after="0" w:line="360" w:lineRule="auto"/>
        <w:jc w:val="center"/>
      </w:pPr>
      <w:r>
        <w:t xml:space="preserve">2026</w:t>
      </w:r>
    </w:p>
    <w:p>
      <w:r>
        <w:br w:type="page"/>
      </w:r>
    </w:p>
    <w:p>
      <w:pPr>
        <w:spacing w:after="0" w:line="360" w:lineRule="auto"/>
        <w:jc w:val="center"/>
      </w:pPr>
      <w:r>
        <w:rPr>
          <w:b/>
          <w:bCs/>
        </w:rPr>
        <w:t xml:space="preserve">IEDA DE OLIVEIRA</w:t>
      </w: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jc w:val="center"/>
      </w:pPr>
      <w:r>
        <w:rPr>
          <w:b/>
          <w:bCs/>
        </w:rPr>
        <w:t xml:space="preserve">HORTA LIMPA</w:t>
      </w:r>
    </w:p>
    <w:p>
      <w:pPr>
        <w:spacing w:after="0" w:line="360" w:lineRule="auto"/>
        <w:jc w:val="center"/>
      </w:pPr>
      <w:r>
        <w:rPr>
          <w:b/>
          <w:bCs/>
        </w:rPr>
        <w:t xml:space="preserve">UM JOGO EDUCATIVO PARA A CONSCIENTIZAÇÃO SOBRE AGROTÓXICOS NOS ALIMENTOS EM MOGI DAS CRUZES</w:t>
      </w:r>
    </w:p>
    <w:p>
      <w:pPr>
        <w:spacing w:after="0" w:line="360" w:lineRule="auto"/>
      </w:pPr>
    </w:p>
    <w:p>
      <w:pPr>
        <w:spacing w:after="0" w:line="360" w:lineRule="auto"/>
      </w:pPr>
    </w:p>
    <w:p>
      <w:pPr>
        <w:spacing w:after="0" w:line="360" w:lineRule="auto"/>
      </w:pPr>
    </w:p>
    <w:p>
      <w:pPr>
        <w:spacing w:after="240" w:line="240"/>
        <w:ind w:left="4536"/>
        <w:jc w:val="both"/>
      </w:pPr>
      <w:r>
        <w:t xml:space="preserve">Trabalho apresentado ao Projeto de Extensão “Agrotóxicos: impactos ambientais e riscos à saúde”, do Centro Universitário Braz Cubas, como parte das atividades do curso de Ciência da Computação.</w:t>
      </w:r>
    </w:p>
    <w:p>
      <w:pPr>
        <w:spacing w:line="240"/>
        <w:ind w:left="4536"/>
      </w:pPr>
      <w:r>
        <w:t xml:space="preserve">Orientador(a): __________________________</w:t>
      </w: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jc w:val="center"/>
      </w:pPr>
      <w:r>
        <w:t xml:space="preserve">MOGI DAS CRUZES</w:t>
      </w:r>
    </w:p>
    <w:p>
      <w:pPr>
        <w:spacing w:after="0" w:line="360" w:lineRule="auto"/>
        <w:jc w:val="center"/>
      </w:pPr>
      <w:r>
        <w:t xml:space="preserve">2026</w:t>
      </w:r>
    </w:p>
    <w:p>
      <w:r>
        <w:br w:type="page"/>
      </w:r>
    </w:p>
    <w:p>
      <w:pPr>
        <w:spacing w:after="0" w:line="360" w:lineRule="auto"/>
        <w:jc w:val="center"/>
      </w:pPr>
      <w:r>
        <w:rPr>
          <w:b/>
          <w:bCs/>
        </w:rPr>
        <w:t xml:space="preserve">RESUMO</w:t>
      </w:r>
    </w:p>
    <w:p>
      <w:pPr>
        <w:spacing w:after="0" w:line="360" w:lineRule="auto"/>
      </w:pPr>
    </w:p>
    <w:p>
      <w:pPr>
        <w:spacing w:after="240" w:line="240"/>
        <w:jc w:val="both"/>
      </w:pPr>
      <w:r>
        <w:t xml:space="preserve">Este trabalho apresenta a fundamentação teórica e a proposta de um jogo digital educativo voltado à conscientização da população de Mogi das Cruzes (SP) sobre a presença de resíduos de agrotóxicos nos alimentos. O ponto de partida é o diagnóstico realizado pelo grupo do projeto de extensão, por meio de questionário aplicado a 57 consumidores, que revelou uma contradição: 86,0% dos participantes acreditam que agrotóxicos causam impactos significativos à saúde, mas 73,7% escolhem frutas e hortaliças principalmente pela aparência, 68,4% nunca verificam a origem dos alimentos e 45,6% afirmam não encontrar informações sobre a forma de cultivo nos pontos de venda. Os dados do Programa de Análise de Resíduos de Agrotóxicos em Alimentos (PARA), da Anvisa, mostram que, no ciclo 2024, apenas 25,6% das 3.084 amostras analisadas não apresentavam resíduos e 20,6% estavam em desconformidade com a legislação. Como os agrotóxicos não alteram cor, cheiro ou sabor dos alimentos, a aparência não é um critério capaz de indicar sua ausência. Com base na pedagogia de Paulo Freire (leitura de mundo, problematização e conscientização), na teoria de Jean Piaget (assimilação, desequilíbrio e acomodação) e na abordagem do lúdico com intencionalidade pedagógica, propõe-se o jogo digital “Horta Limpa”, inspirado no jogo de simulação de fazenda Stardew Valley, no qual o jogador ajuda o personagem José Longuinho a viver um ano da própria horta em Taiaçupeba, na zona rural de Mogi das Cruzes. Ao longo de quatro estações, o jogador planta alimentos da época e cuida das pragas, escolhendo entre alternativas sem veneno e agrotóxicos que exigem o cumprimento de regras reais (produto adequado à praga e registrado para a cultura, uso de equipamento de proteção individual, intervalo de carência e devolução das embalagens). A colheita é lavada em um tanque, onde se aprende a higienizar cada alimento, e passa por um “Raio-X” que mostra quantas de cada dez amostras daquele alimento estavam irregulares no país. Na vila, o jogador conversa com vizinhos que ensinam sobre lavagem, controle biológico e legislação, e decide entre reconstruir a Feira Comunitária com alimentos sem agrotóxico ou assinar o contrato de uma empresa fictícia de agrotóxicos, escolha que muda o final do jogo. Espera-se que o jogo contribua para escolhas alimentares mais conscientes, em consonância com o Objetivo de Desenvolvimento Sustentável 3 (Saúde e Bem-Estar).</w:t>
      </w:r>
    </w:p>
    <w:p>
      <w:pPr>
        <w:spacing w:line="240"/>
        <w:jc w:val="both"/>
      </w:pPr>
      <w:r>
        <w:rPr>
          <w:b/>
          <w:bCs/>
        </w:rPr>
        <w:t xml:space="preserve">Palavras-chave:</w:t>
      </w:r>
      <w:r>
        <w:t xml:space="preserve"> agrotóxicos; educação alimentar; jogo educativo; lúdico; Paulo Freire; Jean Piaget.</w:t>
      </w:r>
    </w:p>
    <w:p>
      <w:r>
        <w:br w:type="page"/>
      </w:r>
    </w:p>
    <w:p>
      <w:pPr>
        <w:spacing w:after="0" w:line="360" w:lineRule="auto"/>
        <w:jc w:val="center"/>
      </w:pPr>
      <w:r>
        <w:rPr>
          <w:b/>
          <w:bCs/>
        </w:rPr>
        <w:t xml:space="preserve">SUMÁRIO</w:t>
      </w:r>
    </w:p>
    <w:p>
      <w:pPr>
        <w:spacing w:after="0" w:line="360" w:lineRule="auto"/>
      </w:pPr>
    </w:p>
    <w:p>
      <w:pPr>
        <w:tabs>
          <w:tab w:val="right" w:pos="9071" w:leader="dot"/>
        </w:tabs>
        <w:spacing w:line="360"/>
      </w:pPr>
      <w:r>
        <w:rPr>
          <w:b/>
          <w:bCs/>
        </w:rPr>
        <w:t xml:space="preserve">1  INTRODUÇÃO</w:t>
      </w:r>
      <w:r>
        <w:rPr>
          <w:b/>
          <w:bCs/>
        </w:rPr>
        <w:t xml:space="preserve">	4</w:t>
      </w:r>
    </w:p>
    <w:p>
      <w:pPr>
        <w:tabs>
          <w:tab w:val="right" w:pos="9071" w:leader="dot"/>
        </w:tabs>
        <w:spacing w:line="360"/>
      </w:pPr>
      <w:r>
        <w:rPr>
          <w:b/>
          <w:bCs/>
        </w:rPr>
        <w:t xml:space="preserve">2  OBJETIVOS</w:t>
      </w:r>
      <w:r>
        <w:rPr>
          <w:b/>
          <w:bCs/>
        </w:rPr>
        <w:t xml:space="preserve">	5</w:t>
      </w:r>
    </w:p>
    <w:p>
      <w:pPr>
        <w:tabs>
          <w:tab w:val="right" w:pos="9071" w:leader="dot"/>
        </w:tabs>
        <w:spacing w:line="360"/>
      </w:pPr>
      <w:r>
        <w:rPr>
          <w:b w:val="false"/>
          <w:bCs w:val="false"/>
        </w:rPr>
        <w:t xml:space="preserve">2.1  Objetivo geral</w:t>
      </w:r>
      <w:r>
        <w:rPr>
          <w:b w:val="false"/>
          <w:bCs w:val="false"/>
        </w:rPr>
        <w:t xml:space="preserve">	5</w:t>
      </w:r>
    </w:p>
    <w:p>
      <w:pPr>
        <w:tabs>
          <w:tab w:val="right" w:pos="9071" w:leader="dot"/>
        </w:tabs>
        <w:spacing w:line="360"/>
      </w:pPr>
      <w:r>
        <w:rPr>
          <w:b w:val="false"/>
          <w:bCs w:val="false"/>
        </w:rPr>
        <w:t xml:space="preserve">2.2  Objetivos específicos</w:t>
      </w:r>
      <w:r>
        <w:rPr>
          <w:b w:val="false"/>
          <w:bCs w:val="false"/>
        </w:rPr>
        <w:t xml:space="preserve">	5</w:t>
      </w:r>
    </w:p>
    <w:p>
      <w:pPr>
        <w:tabs>
          <w:tab w:val="right" w:pos="9071" w:leader="dot"/>
        </w:tabs>
        <w:spacing w:line="360"/>
      </w:pPr>
      <w:r>
        <w:rPr>
          <w:b/>
          <w:bCs/>
        </w:rPr>
        <w:t xml:space="preserve">3  JUSTIFICATIVA</w:t>
      </w:r>
      <w:r>
        <w:rPr>
          <w:b/>
          <w:bCs/>
        </w:rPr>
        <w:t xml:space="preserve">	6</w:t>
      </w:r>
    </w:p>
    <w:p>
      <w:pPr>
        <w:tabs>
          <w:tab w:val="right" w:pos="9071" w:leader="dot"/>
        </w:tabs>
        <w:spacing w:line="360"/>
      </w:pPr>
      <w:r>
        <w:rPr>
          <w:b/>
          <w:bCs/>
        </w:rPr>
        <w:t xml:space="preserve">4  FUNDAMENTAÇÃO TEÓRICA</w:t>
      </w:r>
      <w:r>
        <w:rPr>
          <w:b/>
          <w:bCs/>
        </w:rPr>
        <w:t xml:space="preserve">	7</w:t>
      </w:r>
    </w:p>
    <w:p>
      <w:pPr>
        <w:tabs>
          <w:tab w:val="right" w:pos="9071" w:leader="dot"/>
        </w:tabs>
        <w:spacing w:line="360"/>
      </w:pPr>
      <w:r>
        <w:rPr>
          <w:b w:val="false"/>
          <w:bCs w:val="false"/>
        </w:rPr>
        <w:t xml:space="preserve">4.1  O lúdico no processo de ensino-aprendizagem</w:t>
      </w:r>
      <w:r>
        <w:rPr>
          <w:b w:val="false"/>
          <w:bCs w:val="false"/>
        </w:rPr>
        <w:t xml:space="preserve">	7</w:t>
      </w:r>
    </w:p>
    <w:p>
      <w:pPr>
        <w:tabs>
          <w:tab w:val="right" w:pos="9071" w:leader="dot"/>
        </w:tabs>
        <w:spacing w:line="360"/>
      </w:pPr>
      <w:r>
        <w:rPr>
          <w:b w:val="false"/>
          <w:bCs w:val="false"/>
        </w:rPr>
        <w:t xml:space="preserve">4.2  Paulo Freire: leitura de mundo, problematização e conscientização</w:t>
      </w:r>
      <w:r>
        <w:rPr>
          <w:b w:val="false"/>
          <w:bCs w:val="false"/>
        </w:rPr>
        <w:t xml:space="preserve">	7</w:t>
      </w:r>
    </w:p>
    <w:p>
      <w:pPr>
        <w:tabs>
          <w:tab w:val="right" w:pos="9071" w:leader="dot"/>
        </w:tabs>
        <w:spacing w:line="360"/>
      </w:pPr>
      <w:r>
        <w:rPr>
          <w:b w:val="false"/>
          <w:bCs w:val="false"/>
        </w:rPr>
        <w:t xml:space="preserve">4.3  Jean Piaget: assimilação, desequilíbrio e acomodação</w:t>
      </w:r>
      <w:r>
        <w:rPr>
          <w:b w:val="false"/>
          <w:bCs w:val="false"/>
        </w:rPr>
        <w:t xml:space="preserve">	8</w:t>
      </w:r>
    </w:p>
    <w:p>
      <w:pPr>
        <w:tabs>
          <w:tab w:val="right" w:pos="9071" w:leader="dot"/>
        </w:tabs>
        <w:spacing w:line="360"/>
      </w:pPr>
      <w:r>
        <w:rPr>
          <w:b w:val="false"/>
          <w:bCs w:val="false"/>
        </w:rPr>
        <w:t xml:space="preserve">4.4  Agrotóxicos no Brasil e riscos à saúde</w:t>
      </w:r>
      <w:r>
        <w:rPr>
          <w:b w:val="false"/>
          <w:bCs w:val="false"/>
        </w:rPr>
        <w:t xml:space="preserve">	9</w:t>
      </w:r>
    </w:p>
    <w:p>
      <w:pPr>
        <w:tabs>
          <w:tab w:val="right" w:pos="9071" w:leader="dot"/>
        </w:tabs>
        <w:spacing w:line="360"/>
      </w:pPr>
      <w:r>
        <w:rPr>
          <w:b w:val="false"/>
          <w:bCs w:val="false"/>
        </w:rPr>
        <w:t xml:space="preserve">4.5  O monitoramento de resíduos de agrotóxicos (PARA/Anvisa)</w:t>
      </w:r>
      <w:r>
        <w:rPr>
          <w:b w:val="false"/>
          <w:bCs w:val="false"/>
        </w:rPr>
        <w:t xml:space="preserve">	9</w:t>
      </w:r>
    </w:p>
    <w:p>
      <w:pPr>
        <w:tabs>
          <w:tab w:val="right" w:pos="9071" w:leader="dot"/>
        </w:tabs>
        <w:spacing w:line="360"/>
      </w:pPr>
      <w:r>
        <w:rPr>
          <w:b w:val="false"/>
          <w:bCs w:val="false"/>
        </w:rPr>
        <w:t xml:space="preserve">4.6  Higienização dos alimentos: o que funciona e o que é mito</w:t>
      </w:r>
      <w:r>
        <w:rPr>
          <w:b w:val="false"/>
          <w:bCs w:val="false"/>
        </w:rPr>
        <w:t xml:space="preserve">	11</w:t>
      </w:r>
    </w:p>
    <w:p>
      <w:pPr>
        <w:tabs>
          <w:tab w:val="right" w:pos="9071" w:leader="dot"/>
        </w:tabs>
        <w:spacing w:line="360"/>
      </w:pPr>
      <w:r>
        <w:rPr>
          <w:b w:val="false"/>
          <w:bCs w:val="false"/>
        </w:rPr>
        <w:t xml:space="preserve">4.7  Alimentos ultraprocessados, rastreabilidade e alternativas</w:t>
      </w:r>
      <w:r>
        <w:rPr>
          <w:b w:val="false"/>
          <w:bCs w:val="false"/>
        </w:rPr>
        <w:t xml:space="preserve">	12</w:t>
      </w:r>
    </w:p>
    <w:p>
      <w:pPr>
        <w:tabs>
          <w:tab w:val="right" w:pos="9071" w:leader="dot"/>
        </w:tabs>
        <w:spacing w:line="360"/>
      </w:pPr>
      <w:r>
        <w:rPr>
          <w:b w:val="false"/>
          <w:bCs w:val="false"/>
        </w:rPr>
        <w:t xml:space="preserve">4.8  Uso seguro de agrotóxicos: o que diz a legislação</w:t>
      </w:r>
      <w:r>
        <w:rPr>
          <w:b w:val="false"/>
          <w:bCs w:val="false"/>
        </w:rPr>
        <w:t xml:space="preserve">	12</w:t>
      </w:r>
    </w:p>
    <w:p>
      <w:pPr>
        <w:tabs>
          <w:tab w:val="right" w:pos="9071" w:leader="dot"/>
        </w:tabs>
        <w:spacing w:line="360"/>
      </w:pPr>
      <w:r>
        <w:rPr>
          <w:b/>
          <w:bCs/>
        </w:rPr>
        <w:t xml:space="preserve">5  DIAGNÓSTICO LOCAL: MOGI DAS CRUZES</w:t>
      </w:r>
      <w:r>
        <w:rPr>
          <w:b/>
          <w:bCs/>
        </w:rPr>
        <w:t xml:space="preserve">	14</w:t>
      </w:r>
    </w:p>
    <w:p>
      <w:pPr>
        <w:tabs>
          <w:tab w:val="right" w:pos="9071" w:leader="dot"/>
        </w:tabs>
        <w:spacing w:line="360"/>
      </w:pPr>
      <w:r>
        <w:rPr>
          <w:b w:val="false"/>
          <w:bCs w:val="false"/>
        </w:rPr>
        <w:t xml:space="preserve">5.1  Percepção dos consumidores</w:t>
      </w:r>
      <w:r>
        <w:rPr>
          <w:b w:val="false"/>
          <w:bCs w:val="false"/>
        </w:rPr>
        <w:t xml:space="preserve">	14</w:t>
      </w:r>
    </w:p>
    <w:p>
      <w:pPr>
        <w:tabs>
          <w:tab w:val="right" w:pos="9071" w:leader="dot"/>
        </w:tabs>
        <w:spacing w:line="360"/>
      </w:pPr>
      <w:r>
        <w:rPr>
          <w:b w:val="false"/>
          <w:bCs w:val="false"/>
        </w:rPr>
        <w:t xml:space="preserve">5.2  Produção agrícola e produtores orgânicos do município</w:t>
      </w:r>
      <w:r>
        <w:rPr>
          <w:b w:val="false"/>
          <w:bCs w:val="false"/>
        </w:rPr>
        <w:t xml:space="preserve">	14</w:t>
      </w:r>
    </w:p>
    <w:p>
      <w:pPr>
        <w:tabs>
          <w:tab w:val="right" w:pos="9071" w:leader="dot"/>
        </w:tabs>
        <w:spacing w:line="360"/>
      </w:pPr>
      <w:r>
        <w:rPr>
          <w:b/>
          <w:bCs/>
        </w:rPr>
        <w:t xml:space="preserve">6  PROPOSTA DO JOGO “HORTA LIMPA”</w:t>
      </w:r>
      <w:r>
        <w:rPr>
          <w:b/>
          <w:bCs/>
        </w:rPr>
        <w:t xml:space="preserve">	16</w:t>
      </w:r>
    </w:p>
    <w:p>
      <w:pPr>
        <w:tabs>
          <w:tab w:val="right" w:pos="9071" w:leader="dot"/>
        </w:tabs>
        <w:spacing w:line="360"/>
      </w:pPr>
      <w:r>
        <w:rPr>
          <w:b w:val="false"/>
          <w:bCs w:val="false"/>
        </w:rPr>
        <w:t xml:space="preserve">6.1  Ideia central e narrativa</w:t>
      </w:r>
      <w:r>
        <w:rPr>
          <w:b w:val="false"/>
          <w:bCs w:val="false"/>
        </w:rPr>
        <w:t xml:space="preserve">	16</w:t>
      </w:r>
    </w:p>
    <w:p>
      <w:pPr>
        <w:tabs>
          <w:tab w:val="right" w:pos="9071" w:leader="dot"/>
        </w:tabs>
        <w:spacing w:line="360"/>
      </w:pPr>
      <w:r>
        <w:rPr>
          <w:b w:val="false"/>
          <w:bCs w:val="false"/>
        </w:rPr>
        <w:t xml:space="preserve">6.2  Mecânicas e relação com a fundamentação</w:t>
      </w:r>
      <w:r>
        <w:rPr>
          <w:b w:val="false"/>
          <w:bCs w:val="false"/>
        </w:rPr>
        <w:t xml:space="preserve">	17</w:t>
      </w:r>
    </w:p>
    <w:p>
      <w:pPr>
        <w:tabs>
          <w:tab w:val="right" w:pos="9071" w:leader="dot"/>
        </w:tabs>
        <w:spacing w:line="360"/>
      </w:pPr>
      <w:r>
        <w:rPr>
          <w:b w:val="false"/>
          <w:bCs w:val="false"/>
        </w:rPr>
        <w:t xml:space="preserve">6.3  Regras do agrotóxico e alternativas</w:t>
      </w:r>
      <w:r>
        <w:rPr>
          <w:b w:val="false"/>
          <w:bCs w:val="false"/>
        </w:rPr>
        <w:t xml:space="preserve">	17</w:t>
      </w:r>
    </w:p>
    <w:p>
      <w:pPr>
        <w:tabs>
          <w:tab w:val="right" w:pos="9071" w:leader="dot"/>
        </w:tabs>
        <w:spacing w:line="360"/>
      </w:pPr>
      <w:r>
        <w:rPr>
          <w:b w:val="false"/>
          <w:bCs w:val="false"/>
        </w:rPr>
        <w:t xml:space="preserve">6.4  Tanque, Raio-X e guia de lavagem</w:t>
      </w:r>
      <w:r>
        <w:rPr>
          <w:b w:val="false"/>
          <w:bCs w:val="false"/>
        </w:rPr>
        <w:t xml:space="preserve">	18</w:t>
      </w:r>
    </w:p>
    <w:p>
      <w:pPr>
        <w:tabs>
          <w:tab w:val="right" w:pos="9071" w:leader="dot"/>
        </w:tabs>
        <w:spacing w:line="360"/>
      </w:pPr>
      <w:r>
        <w:rPr>
          <w:b w:val="false"/>
          <w:bCs w:val="false"/>
        </w:rPr>
        <w:t xml:space="preserve">6.5  A vila, os vizinhos e a Feira Comunitária</w:t>
      </w:r>
      <w:r>
        <w:rPr>
          <w:b w:val="false"/>
          <w:bCs w:val="false"/>
        </w:rPr>
        <w:t xml:space="preserve">	19</w:t>
      </w:r>
    </w:p>
    <w:p>
      <w:pPr>
        <w:tabs>
          <w:tab w:val="right" w:pos="9071" w:leader="dot"/>
        </w:tabs>
        <w:spacing w:line="360"/>
      </w:pPr>
      <w:r>
        <w:rPr>
          <w:b w:val="false"/>
          <w:bCs w:val="false"/>
        </w:rPr>
        <w:t xml:space="preserve">6.6  Estações, despensa e economia do jogo</w:t>
      </w:r>
      <w:r>
        <w:rPr>
          <w:b w:val="false"/>
          <w:bCs w:val="false"/>
        </w:rPr>
        <w:t xml:space="preserve">	20</w:t>
      </w:r>
    </w:p>
    <w:p>
      <w:pPr>
        <w:tabs>
          <w:tab w:val="right" w:pos="9071" w:leader="dot"/>
        </w:tabs>
        <w:spacing w:line="360"/>
      </w:pPr>
      <w:r>
        <w:rPr>
          <w:b w:val="false"/>
          <w:bCs w:val="false"/>
        </w:rPr>
        <w:t xml:space="preserve">6.7  Motivação para jogar e aprender de novo</w:t>
      </w:r>
      <w:r>
        <w:rPr>
          <w:b w:val="false"/>
          <w:bCs w:val="false"/>
        </w:rPr>
        <w:t xml:space="preserve">	20</w:t>
      </w:r>
    </w:p>
    <w:p>
      <w:pPr>
        <w:tabs>
          <w:tab w:val="right" w:pos="9071" w:leader="dot"/>
        </w:tabs>
        <w:spacing w:line="360"/>
      </w:pPr>
      <w:r>
        <w:rPr>
          <w:b w:val="false"/>
          <w:bCs w:val="false"/>
        </w:rPr>
        <w:t xml:space="preserve">6.8  Aspectos técnicos</w:t>
      </w:r>
      <w:r>
        <w:rPr>
          <w:b w:val="false"/>
          <w:bCs w:val="false"/>
        </w:rPr>
        <w:t xml:space="preserve">	20</w:t>
      </w:r>
    </w:p>
    <w:p>
      <w:pPr>
        <w:tabs>
          <w:tab w:val="right" w:pos="9071" w:leader="dot"/>
        </w:tabs>
        <w:spacing w:line="360"/>
      </w:pPr>
      <w:r>
        <w:rPr>
          <w:b w:val="false"/>
          <w:bCs w:val="false"/>
        </w:rPr>
        <w:t xml:space="preserve">6.9  Avaliação da conscientização</w:t>
      </w:r>
      <w:r>
        <w:rPr>
          <w:b w:val="false"/>
          <w:bCs w:val="false"/>
        </w:rPr>
        <w:t xml:space="preserve">	21</w:t>
      </w:r>
    </w:p>
    <w:p>
      <w:pPr>
        <w:tabs>
          <w:tab w:val="right" w:pos="9071" w:leader="dot"/>
        </w:tabs>
        <w:spacing w:line="360"/>
      </w:pPr>
      <w:r>
        <w:rPr>
          <w:b w:val="false"/>
          <w:bCs w:val="false"/>
        </w:rPr>
        <w:t xml:space="preserve">6.10  Cuidados e limitações</w:t>
      </w:r>
      <w:r>
        <w:rPr>
          <w:b w:val="false"/>
          <w:bCs w:val="false"/>
        </w:rPr>
        <w:t xml:space="preserve">	21</w:t>
      </w:r>
    </w:p>
    <w:p>
      <w:pPr>
        <w:tabs>
          <w:tab w:val="right" w:pos="9071" w:leader="dot"/>
        </w:tabs>
        <w:spacing w:line="360"/>
      </w:pPr>
      <w:r>
        <w:rPr>
          <w:b/>
          <w:bCs/>
        </w:rPr>
        <w:t xml:space="preserve">7  CONSIDERAÇÕES FINAIS</w:t>
      </w:r>
      <w:r>
        <w:rPr>
          <w:b/>
          <w:bCs/>
        </w:rPr>
        <w:t xml:space="preserve">	22</w:t>
      </w:r>
    </w:p>
    <w:p>
      <w:pPr>
        <w:tabs>
          <w:tab w:val="right" w:pos="9071" w:leader="dot"/>
        </w:tabs>
        <w:spacing w:line="360"/>
      </w:pPr>
      <w:r>
        <w:rPr>
          <w:b/>
          <w:bCs/>
        </w:rPr>
        <w:t xml:space="preserve">REFERÊNCIAS</w:t>
      </w:r>
      <w:r>
        <w:rPr>
          <w:b/>
          <w:bCs/>
        </w:rPr>
        <w:t xml:space="preserve">	23</w:t>
      </w:r>
    </w:p>
    <w:p>
      <w:pPr>
        <w:sectPr>
          <w:pgSz w:w="11906" w:h="16838" w:orient="portrait"/>
          <w:pgMar w:top="1701" w:right="1134" w:bottom="1134" w:left="1701" w:header="708" w:footer="708" w:gutter="0"/>
          <w:pgNumType/>
          <w:docGrid w:linePitch="360"/>
        </w:sectPr>
      </w:pPr>
    </w:p>
    <w:p>
      <w:pPr>
        <w:pStyle w:val="Heading1"/>
      </w:pPr>
      <w:r>
        <w:t xml:space="preserve">1 INTRODUÇÃO</w:t>
      </w:r>
    </w:p>
    <w:p>
      <w:pPr>
        <w:spacing w:after="0" w:line="360" w:lineRule="auto"/>
        <w:ind w:firstLine="709"/>
        <w:jc w:val="both"/>
      </w:pPr>
      <w:r>
        <w:t xml:space="preserve">O Brasil está entre os países que mais utilizam agrotóxicos no mundo. Segundo dados da Organização das Nações Unidas para a Alimentação e a Agricultura (FAO), foram 801 mil toneladas em 2022, quase o dobro das 468 mil toneladas utilizadas pelos Estados Unidos no mesmo ano (MARINS, 2025). Parte desses produtos permanece nos alimentos que chegam à mesa do consumidor, e o monitoramento oficial realizado pela Agência Nacional de Vigilância Sanitária (Anvisa) indica que apenas cerca de um quarto das amostras analisadas no ciclo 2024 não apresentava qualquer resíduo detectável (ANVISA, 2025).</w:t>
      </w:r>
    </w:p>
    <w:p>
      <w:pPr>
        <w:spacing w:after="0" w:line="360" w:lineRule="auto"/>
        <w:ind w:firstLine="709"/>
        <w:jc w:val="both"/>
      </w:pPr>
      <w:r>
        <w:t xml:space="preserve">Apesar da relevância do tema, a população em geral conhece pouco sobre a presença desses resíduos nos alimentos que consome. O projeto de extensão “Agrotóxicos: impactos ambientais e riscos à saúde”, desenvolvido por estudantes do Centro Universitário Braz Cubas, investigou esse desconhecimento em Mogi das Cruzes (SP), município reconhecido como importante produtor agrícola do Cinturão Verde da região metropolitana de São Paulo. O diagnóstico identificou dois problemas principais: a falta de informação acessível sobre agrotóxicos nos alimentos e a dificuldade de acesso a alternativas, como produtos orgânicos e agroecológicos.</w:t>
      </w:r>
    </w:p>
    <w:p>
      <w:pPr>
        <w:spacing w:after="0" w:line="360" w:lineRule="auto"/>
        <w:ind w:firstLine="709"/>
        <w:jc w:val="both"/>
      </w:pPr>
      <w:r>
        <w:t xml:space="preserve">Como contribuição da área de Ciência da Computação, este trabalho propõe um jogo digital educativo, denominado “Horta Limpa”, inspirado no gênero de simulação de fazenda popularizado pelo jogo Stardew Valley (CONCERNEDAPE, 2016), no qual o jogador ajuda o personagem José Longuinho a cultivar e consumir os próprios alimentos sem se intoxicar. A proposta se apoia na pedagogia de Paulo Freire, na teoria do desenvolvimento cognitivo de Jean Piaget e na abordagem do lúdico como estratégia de ensino-aprendizagem. O foco do jogo é a conscientização: levar o público a reconhecer sua própria realidade de consumo, confrontá-la com dados confiáveis e refletir sobre atitudes possíveis, individuais e coletivas.</w:t>
      </w:r>
    </w:p>
    <w:p>
      <w:pPr>
        <w:spacing w:after="0" w:line="360" w:lineRule="auto"/>
        <w:ind w:firstLine="709"/>
        <w:jc w:val="both"/>
      </w:pPr>
      <w:r>
        <w:t xml:space="preserve">O documento está organizado da seguinte forma: a seção 2 apresenta os objetivos; a seção 3, a justificativa; a seção 4 reúne a fundamentação teórica, pedagógica e técnica; a seção 5 descreve o diagnóstico local; a seção 6 detalha a proposta do jogo; e a seção 7 traz as considerações finais.</w:t>
      </w:r>
    </w:p>
    <w:p>
      <w:pPr>
        <w:pStyle w:val="Heading1"/>
        <w:pageBreakBefore/>
      </w:pPr>
      <w:r>
        <w:t xml:space="preserve">2 OBJETIVOS</w:t>
      </w:r>
    </w:p>
    <w:p>
      <w:pPr>
        <w:pStyle w:val="Heading2"/>
      </w:pPr>
      <w:r>
        <w:t xml:space="preserve">2.1 Objetivo geral</w:t>
      </w:r>
    </w:p>
    <w:p>
      <w:pPr>
        <w:spacing w:after="0" w:line="360" w:lineRule="auto"/>
        <w:ind w:firstLine="709"/>
        <w:jc w:val="both"/>
      </w:pPr>
      <w:r>
        <w:t xml:space="preserve">Desenvolver a proposta de um jogo digital educativo que conscientize a população de Mogi das Cruzes sobre a presença de resíduos de agrotóxicos nos alimentos e sobre formas de reduzir a exposição a eles.</w:t>
      </w:r>
    </w:p>
    <w:p>
      <w:pPr>
        <w:pStyle w:val="Heading2"/>
      </w:pPr>
      <w:r>
        <w:t xml:space="preserve">2.2 Objetivos específicos</w:t>
      </w:r>
    </w:p>
    <w:p>
      <w:pPr>
        <w:pStyle w:val="ListParagraph"/>
        <w:numPr>
          <w:ilvl w:val="0"/>
          <w:numId w:val="2"/>
        </w:numPr>
        <w:spacing w:after="0" w:line="360" w:lineRule="auto"/>
        <w:jc w:val="both"/>
      </w:pPr>
      <w:r>
        <w:t xml:space="preserve">Relacionar os resultados do questionário aplicado aos consumidores de Mogi das Cruzes com os dados oficiais de monitoramento de resíduos de agrotóxicos;</w:t>
      </w:r>
    </w:p>
    <w:p>
      <w:pPr>
        <w:pStyle w:val="ListParagraph"/>
        <w:numPr>
          <w:ilvl w:val="0"/>
          <w:numId w:val="2"/>
        </w:numPr>
        <w:spacing w:after="0" w:line="360" w:lineRule="auto"/>
        <w:jc w:val="both"/>
      </w:pPr>
      <w:r>
        <w:t xml:space="preserve">Fundamentar o jogo em referenciais pedagógicos que valorizem a realidade do jogador e a aprendizagem ativa, como Freire, Piaget e a abordagem do lúdico;</w:t>
      </w:r>
    </w:p>
    <w:p>
      <w:pPr>
        <w:pStyle w:val="ListParagraph"/>
        <w:numPr>
          <w:ilvl w:val="0"/>
          <w:numId w:val="2"/>
        </w:numPr>
        <w:spacing w:after="0" w:line="360" w:lineRule="auto"/>
        <w:jc w:val="both"/>
      </w:pPr>
      <w:r>
        <w:t xml:space="preserve">Mostrar que a aparência do alimento não indica a presença ou a ausência de agrotóxicos;</w:t>
      </w:r>
    </w:p>
    <w:p>
      <w:pPr>
        <w:pStyle w:val="ListParagraph"/>
        <w:numPr>
          <w:ilvl w:val="0"/>
          <w:numId w:val="2"/>
        </w:numPr>
        <w:spacing w:after="0" w:line="360" w:lineRule="auto"/>
        <w:jc w:val="both"/>
      </w:pPr>
      <w:r>
        <w:t xml:space="preserve">Desconstruir mitos sobre a higienização de frutas e hortaliças com base em fontes oficiais e especializadas;</w:t>
      </w:r>
    </w:p>
    <w:p>
      <w:pPr>
        <w:pStyle w:val="ListParagraph"/>
        <w:numPr>
          <w:ilvl w:val="0"/>
          <w:numId w:val="2"/>
        </w:numPr>
        <w:spacing w:after="0" w:line="360" w:lineRule="auto"/>
        <w:jc w:val="both"/>
      </w:pPr>
      <w:r>
        <w:t xml:space="preserve">Apresentar as regras de uso seguro de agrotóxicos previstas na legislação e as alternativas de controle sem veneno;</w:t>
      </w:r>
    </w:p>
    <w:p>
      <w:pPr>
        <w:pStyle w:val="ListParagraph"/>
        <w:numPr>
          <w:ilvl w:val="0"/>
          <w:numId w:val="2"/>
        </w:numPr>
        <w:spacing w:after="0" w:line="360" w:lineRule="auto"/>
        <w:jc w:val="both"/>
      </w:pPr>
      <w:r>
        <w:t xml:space="preserve">Apresentar alternativas acessíveis, como a escolha de alimentos rastreáveis, de época e de produtores orgânicos locais, e valorizar a feira como espaço de contato entre consumidor e produtor;</w:t>
      </w:r>
    </w:p>
    <w:p>
      <w:pPr>
        <w:pStyle w:val="ListParagraph"/>
        <w:numPr>
          <w:ilvl w:val="0"/>
          <w:numId w:val="2"/>
        </w:numPr>
        <w:spacing w:after="0" w:line="360" w:lineRule="auto"/>
        <w:jc w:val="both"/>
      </w:pPr>
      <w:r>
        <w:t xml:space="preserve">Propor um instrumento simples de avaliação da conscientização antes e depois do jogo.</w:t>
      </w:r>
    </w:p>
    <w:p>
      <w:pPr>
        <w:pStyle w:val="Heading1"/>
        <w:pageBreakBefore/>
      </w:pPr>
      <w:r>
        <w:t xml:space="preserve">3 JUSTIFICATIVA</w:t>
      </w:r>
    </w:p>
    <w:p>
      <w:pPr>
        <w:spacing w:after="0" w:line="360" w:lineRule="auto"/>
        <w:ind w:firstLine="709"/>
        <w:jc w:val="both"/>
      </w:pPr>
      <w:r>
        <w:t xml:space="preserve">O diagnóstico realizado pelo grupo revelou uma diferença entre a preocupação das pessoas e seus hábitos de consumo. A maioria dos participantes reconhece que os agrotóxicos podem prejudicar a saúde, mas não utiliza esse critério na hora da compra, escolhendo os alimentos principalmente pela aparência e pelo preço. Ao mesmo tempo, quase todos afirmaram que mudariam seus hábitos se tivessem acesso fácil e preços acessíveis a produtos sem agrotóxicos.</w:t>
      </w:r>
    </w:p>
    <w:p>
      <w:pPr>
        <w:spacing w:after="0" w:line="360" w:lineRule="auto"/>
        <w:ind w:firstLine="709"/>
        <w:jc w:val="both"/>
      </w:pPr>
      <w:r>
        <w:t xml:space="preserve">Essa contradição indica que o problema não é apenas de desinteresse, mas de falta de informação compreensível e de condições de acesso. O próprio projeto de extensão apontou, ao analisar iniciativas semelhantes, que se devem evitar ações apenas informativas, materiais de linguagem técnica e propostas que desconsiderem o custo e a facilidade de acesso da comunidade. Um jogo digital acessível pelo celular, com partidas que podem ser pausadas, salvas e retomadas, permite transformar dados técnicos em uma experiência concreta, partindo do cotidiano do próprio jogador.</w:t>
      </w:r>
    </w:p>
    <w:p>
      <w:pPr>
        <w:spacing w:after="0" w:line="360" w:lineRule="auto"/>
        <w:ind w:firstLine="709"/>
        <w:jc w:val="both"/>
      </w:pPr>
      <w:r>
        <w:t xml:space="preserve">O tema também se relaciona diretamente ao Objetivo de Desenvolvimento Sustentável (ODS) 3 – Saúde e Bem-Estar, especialmente à meta 3.9, que trata da redução de doenças causadas por produtos químicos perigosos, e dialoga com os ODS 2 (Fome Zero e Agricultura Sustentável) e 12 (Consumo e Produção Responsáveis) (NAÇÕES UNIDAS, 2015).</w:t>
      </w:r>
    </w:p>
    <w:p>
      <w:pPr>
        <w:pStyle w:val="Heading1"/>
        <w:pageBreakBefore/>
      </w:pPr>
      <w:r>
        <w:t xml:space="preserve">4 FUNDAMENTAÇÃO TEÓRICA</w:t>
      </w:r>
    </w:p>
    <w:p>
      <w:pPr>
        <w:pStyle w:val="Heading2"/>
      </w:pPr>
      <w:r>
        <w:t xml:space="preserve">4.1 O lúdico no processo de ensino-aprendizagem</w:t>
      </w:r>
    </w:p>
    <w:p>
      <w:pPr>
        <w:spacing w:after="0" w:line="360" w:lineRule="auto"/>
        <w:ind w:firstLine="709"/>
        <w:jc w:val="both"/>
      </w:pPr>
      <w:r>
        <w:t xml:space="preserve">O lúdico pode ser compreendido como uma abordagem pedagógica que utiliza jogos, brincadeiras e outras atividades prazerosas para favorecer a aprendizagem. Paiva (2025) ressalta que o lúdico não é um fim em si mesmo: ele só contribui para o aprendizado quando há intencionalidade pedagógica, planejamento e atenção à realidade de quem aprende. Nas palavras da autora:</w:t>
      </w:r>
    </w:p>
    <w:p>
      <w:pPr>
        <w:spacing w:after="240" w:before="240" w:line="240"/>
        <w:ind w:left="2268"/>
        <w:jc w:val="both"/>
      </w:pPr>
      <w:r>
        <w:rPr>
          <w:sz w:val="20"/>
          <w:szCs w:val="20"/>
        </w:rPr>
        <w:t xml:space="preserve">O lúdico é uma abordagem pedagógica que visa à integração e à construção do aprendizado por meio da prática [...] (PAIVA, 2025).</w:t>
      </w:r>
    </w:p>
    <w:p>
      <w:pPr>
        <w:spacing w:after="0" w:line="360" w:lineRule="auto"/>
        <w:ind w:firstLine="709"/>
        <w:jc w:val="both"/>
      </w:pPr>
      <w:r>
        <w:t xml:space="preserve">A autora retoma Maluf (2003 apud PAIVA, 2025), para quem “o lúdico é parceiro do professor”, e Friedmann (1996 apud PAIVA, 2025), segundo quem os jogos lúdicos permitem “uma situação educativa cooperativa e interacional”. Paiva (2025) também destaca que recursos digitais podem ser utilizados no ensino desde que sejam contextualizados e problematizados, o que fundamenta a escolha de um jogo digital para este projeto.</w:t>
      </w:r>
    </w:p>
    <w:p>
      <w:pPr>
        <w:spacing w:after="0" w:line="360" w:lineRule="auto"/>
        <w:ind w:firstLine="709"/>
        <w:jc w:val="both"/>
      </w:pPr>
      <w:r>
        <w:t xml:space="preserve">Embora o artigo de Paiva (2025) trate principalmente da educação de crianças, os princípios de intencionalidade, interação e contextualização se aplicam à educação de adultos quando articulados a referenciais próprios desse público, como a pedagogia de Paulo Freire, desenvolvida justamente em processos de alfabetização e conscientização de adultos.</w:t>
      </w:r>
    </w:p>
    <w:p>
      <w:pPr>
        <w:pStyle w:val="Heading2"/>
      </w:pPr>
      <w:r>
        <w:t xml:space="preserve">4.2 Paulo Freire: leitura de mundo, problematização e conscientização</w:t>
      </w:r>
    </w:p>
    <w:p>
      <w:pPr>
        <w:spacing w:after="0" w:line="360" w:lineRule="auto"/>
        <w:ind w:firstLine="709"/>
        <w:jc w:val="both"/>
      </w:pPr>
      <w:r>
        <w:t xml:space="preserve">Para Freire (1987), a educação libertadora se opõe à “educação bancária”, na qual o educador apenas deposita conteúdos no educando. Nessa perspectiva, os sujeitos aprendem a partir de sua própria realidade e se tornam capazes de compreendê-la criticamente e de transformá-la. Paiva (2025), retomando Freire, afirma que “os alunos são sujeitos do processo de aprendizagem e não objetos”.</w:t>
      </w:r>
    </w:p>
    <w:p>
      <w:pPr>
        <w:spacing w:after="0" w:line="360" w:lineRule="auto"/>
        <w:ind w:firstLine="709"/>
        <w:jc w:val="both"/>
      </w:pPr>
      <w:r>
        <w:t xml:space="preserve">Quatro ideias freireanas orientam a proposta do jogo:</w:t>
      </w:r>
    </w:p>
    <w:p>
      <w:pPr>
        <w:pStyle w:val="ListParagraph"/>
        <w:numPr>
          <w:ilvl w:val="0"/>
          <w:numId w:val="3"/>
        </w:numPr>
        <w:spacing w:after="0" w:line="360" w:lineRule="auto"/>
        <w:jc w:val="both"/>
      </w:pPr>
      <w:r>
        <w:rPr>
          <w:b/>
          <w:bCs/>
        </w:rPr>
        <w:t xml:space="preserve">leitura de mundo:</w:t>
      </w:r>
      <w:r>
        <w:t xml:space="preserve"> “a leitura do mundo precede a leitura da palavra” (FREIRE, 1989, p. 9). O jogo se passa em Mogi das Cruzes, na zona rural de Taiaçupeba e no Cinturão Verde, e parte de situações do cotidiano do jogador, como escolher, lavar e comer frutas e hortaliças;</w:t>
      </w:r>
    </w:p>
    <w:p>
      <w:pPr>
        <w:pStyle w:val="ListParagraph"/>
        <w:numPr>
          <w:ilvl w:val="0"/>
          <w:numId w:val="3"/>
        </w:numPr>
        <w:spacing w:after="0" w:line="360" w:lineRule="auto"/>
        <w:jc w:val="both"/>
      </w:pPr>
      <w:r>
        <w:rPr>
          <w:b/>
          <w:bCs/>
        </w:rPr>
        <w:t xml:space="preserve">tema gerador:</w:t>
      </w:r>
      <w:r>
        <w:t xml:space="preserve"> os conteúdos partem de situações significativas da vida dos sujeitos. Aqui, o tema gerador é o alimento do dia a dia, acompanhado do plantio até o prato;</w:t>
      </w:r>
    </w:p>
    <w:p>
      <w:pPr>
        <w:pStyle w:val="ListParagraph"/>
        <w:numPr>
          <w:ilvl w:val="0"/>
          <w:numId w:val="3"/>
        </w:numPr>
        <w:spacing w:after="0" w:line="360" w:lineRule="auto"/>
        <w:jc w:val="both"/>
      </w:pPr>
      <w:r>
        <w:rPr>
          <w:b/>
          <w:bCs/>
        </w:rPr>
        <w:t xml:space="preserve">problematização:</w:t>
      </w:r>
      <w:r>
        <w:t xml:space="preserve"> em vez de entregar respostas prontas, a situação é apresentada como um problema a ser compreendido, por exemplo: “por que o alimento sem agrotóxico é mais caro na minha cidade?”. No jogo, o jogador enfrenta escolhas como tratar uma praga com joaninhas ou com agrotóxico, e reconstruir a feira da vila ou aceitar o dinheiro de uma empresa de agrotóxicos;</w:t>
      </w:r>
    </w:p>
    <w:p>
      <w:pPr>
        <w:pStyle w:val="ListParagraph"/>
        <w:numPr>
          <w:ilvl w:val="0"/>
          <w:numId w:val="3"/>
        </w:numPr>
        <w:spacing w:after="0" w:line="360" w:lineRule="auto"/>
        <w:jc w:val="both"/>
      </w:pPr>
      <w:r>
        <w:rPr>
          <w:b/>
          <w:bCs/>
        </w:rPr>
        <w:t xml:space="preserve">conscientização e práxis:</w:t>
      </w:r>
      <w:r>
        <w:t xml:space="preserve"> a reflexão crítica deve levar à ação transformadora. O jogo termina com a escolha de compromissos concretos para a vida real pelo jogador.</w:t>
      </w:r>
    </w:p>
    <w:p>
      <w:pPr>
        <w:pStyle w:val="Heading2"/>
      </w:pPr>
      <w:r>
        <w:t xml:space="preserve">4.3 Jean Piaget: assimilação, desequilíbrio e acomodação</w:t>
      </w:r>
    </w:p>
    <w:p>
      <w:pPr>
        <w:spacing w:after="0" w:line="360" w:lineRule="auto"/>
        <w:ind w:firstLine="709"/>
        <w:jc w:val="both"/>
      </w:pPr>
      <w:r>
        <w:t xml:space="preserve">O conceito de assimilação, frequentemente associado à aprendizagem, pertence à teoria de Jean Piaget. Para o autor, o conhecimento é construído na interação do sujeito com o meio, por meio de dois processos complementares: a </w:t>
      </w:r>
      <w:r>
        <w:rPr>
          <w:b/>
          <w:bCs/>
        </w:rPr>
        <w:t xml:space="preserve">assimilação</w:t>
      </w:r>
      <w:r>
        <w:t xml:space="preserve">, em que a nova informação é incorporada aos esquemas que a pessoa já possui, e a </w:t>
      </w:r>
      <w:r>
        <w:rPr>
          <w:b/>
          <w:bCs/>
        </w:rPr>
        <w:t xml:space="preserve">acomodação</w:t>
      </w:r>
      <w:r>
        <w:t xml:space="preserve">, em que esses esquemas são modificados quando a informação nova não se encaixa neles (PIAGET, 1987). O conflito entre o que se sabia e o que se descobre gera um </w:t>
      </w:r>
      <w:r>
        <w:rPr>
          <w:b/>
          <w:bCs/>
        </w:rPr>
        <w:t xml:space="preserve">desequilíbrio</w:t>
      </w:r>
      <w:r>
        <w:t xml:space="preserve"> cognitivo, e a busca de um novo equilíbrio, chamada de equilibração, impulsiona a aprendizagem (PIAGET, 1976).</w:t>
      </w:r>
    </w:p>
    <w:p>
      <w:pPr>
        <w:spacing w:after="0" w:line="360" w:lineRule="auto"/>
        <w:ind w:firstLine="709"/>
        <w:jc w:val="both"/>
      </w:pPr>
      <w:r>
        <w:t xml:space="preserve">No jogo, essa sequência é planejada intencionalmente. O jogador colhe um alimento de boa aparência e, com base no que já sabe, supõe que ele está saudável (assimilação). Em seguida, o Raio-X do laboratório revela que o alimento está irregular, por ter sido colhido durante a carência ou tratado com um produto não registrado para aquela cultura (desequilíbrio). Por fim, o jogador reorganiza suas escolhas: espera a carência, lê o rótulo ou prefere alternativas sem veneno (acomodação). O mesmo ciclo se repete na lavagem, quando se descobre que o vinagre quase não remove agrotóxicos, e na troca das estações, quando as plantas fora da época murcham. Assim, os referenciais de Freire e Piaget se complementam: o primeiro orienta o ponto de partida e a finalidade social da aprendizagem; o segundo explica o mecanismo cognitivo pelo qual ela acontece.</w:t>
      </w:r>
    </w:p>
    <w:p>
      <w:pPr>
        <w:pStyle w:val="Heading2"/>
      </w:pPr>
      <w:r>
        <w:t xml:space="preserve">4.4 Agrotóxicos no Brasil e riscos à saúde</w:t>
      </w:r>
    </w:p>
    <w:p>
      <w:pPr>
        <w:spacing w:after="0" w:line="360" w:lineRule="auto"/>
        <w:ind w:firstLine="709"/>
        <w:jc w:val="both"/>
      </w:pPr>
      <w:r>
        <w:t xml:space="preserve">Além do volume elevado de uso no país, pesquisa publicada na revista </w:t>
      </w:r>
      <w:r>
        <w:rPr>
          <w:i/>
          <w:iCs/>
        </w:rPr>
        <w:t xml:space="preserve">Science</w:t>
      </w:r>
      <w:r>
        <w:t xml:space="preserve"> concluiu que os agrotóxicos se tornaram mais tóxicos em todo o planeta em menos de uma década, e que Brasil, Estados Unidos, China e Índia respondem por 53% a 68% da toxicidade global associada a esses produtos (SPONCHIATO, 2026).</w:t>
      </w:r>
    </w:p>
    <w:p>
      <w:pPr>
        <w:spacing w:after="0" w:line="360" w:lineRule="auto"/>
        <w:ind w:firstLine="709"/>
        <w:jc w:val="both"/>
      </w:pPr>
      <w:r>
        <w:t xml:space="preserve">Diversos estudos associam a exposição a resíduos de agrotóxicos a distúrbios neurológicos, maior risco de doenças como Parkinson e Alzheimer, câncer e problemas reprodutivos decorrentes de desequilíbrios hormonais. As crianças são mais vulneráveis, pois consomem mais alimento por quilo de peso corporal e eliminam essas substâncias com menor eficiência (MARINS, 2025). Um aspecto central para este projeto é que esses resíduos não podem ser percebidos pelo consumidor:</w:t>
      </w:r>
    </w:p>
    <w:p>
      <w:pPr>
        <w:spacing w:after="240" w:before="240" w:line="240"/>
        <w:ind w:left="2268"/>
        <w:jc w:val="both"/>
      </w:pPr>
      <w:r>
        <w:rPr>
          <w:sz w:val="20"/>
          <w:szCs w:val="20"/>
        </w:rPr>
        <w:t xml:space="preserve">Os agrotóxicos não são visíveis nos alimentos, não alteram cor, cheiro ou sabor, e por isso não é possível identificá-los a olho nu. Só é possível detectar a presença [desses produtos] por meio de análises laboratoriais específicas (BORDIN apud MARINS, 2025).</w:t>
      </w:r>
    </w:p>
    <w:p>
      <w:pPr>
        <w:spacing w:after="0" w:line="360" w:lineRule="auto"/>
        <w:ind w:firstLine="709"/>
        <w:jc w:val="both"/>
      </w:pPr>
      <w:r>
        <w:t xml:space="preserve">Essa constatação dialoga diretamente com o principal resultado do questionário aplicado em Mogi das Cruzes, no qual a aparência foi o critério de escolha mais citado (ver seção 5.1).</w:t>
      </w:r>
    </w:p>
    <w:p>
      <w:pPr>
        <w:pStyle w:val="Heading2"/>
      </w:pPr>
      <w:r>
        <w:t xml:space="preserve">4.5 O monitoramento de resíduos de agrotóxicos (PARA/Anvisa)</w:t>
      </w:r>
    </w:p>
    <w:p>
      <w:pPr>
        <w:spacing w:after="0" w:line="360" w:lineRule="auto"/>
        <w:ind w:firstLine="709"/>
        <w:jc w:val="both"/>
      </w:pPr>
      <w:r>
        <w:t xml:space="preserve">O Programa de Análise de Resíduos de Agrotóxicos em Alimentos (PARA), coordenado pela Anvisa em conjunto com as vigilâncias sanitárias estaduais e municipais, monitora resíduos em alimentos de origem vegetal desde 2001, com mais de 45 mil amostras analisadas (ANVISA, 2025). No Plano Plurianual 2023–2025, 36 alimentos, que representam 80% do consumo de origem vegetal da população brasileira, são monitorados em três ciclos anuais. As amostras são coletadas no varejo e analisadas sem lavar ou descascar (ANVISA, 2024b).</w:t>
      </w:r>
    </w:p>
    <w:p>
      <w:pPr>
        <w:spacing w:after="0" w:line="360" w:lineRule="auto"/>
        <w:ind w:firstLine="709"/>
        <w:jc w:val="both"/>
      </w:pPr>
      <w:r>
        <w:t xml:space="preserve">Uma amostra é considerada insatisfatória quando apresenta resíduo acima do Limite Máximo de Resíduos (LMR), resíduo de agrotóxico não permitido para aquela cultura ou resíduo de agrotóxico proibido no Brasil. A Tabela 1 resume os resultados dos dois ciclos mais recentes.</w:t>
      </w:r>
    </w:p>
    <w:p>
      <w:pPr>
        <w:keepNext/>
        <w:spacing w:after="60" w:before="240" w:line="240"/>
        <w:jc w:val="center"/>
      </w:pPr>
      <w:r>
        <w:rPr>
          <w:sz w:val="20"/>
          <w:szCs w:val="20"/>
        </w:rPr>
        <w:t xml:space="preserve">Tabela 1 – Resultados gerais do PARA nos ciclos 2023 e 2024</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253"/>
        <w:gridCol w:w="2409"/>
        <w:gridCol w:w="2409"/>
      </w:tblGrid>
      <w:tr>
        <w:trPr>
          <w:cantSplit/>
          <w:tblHeader/>
        </w:trPr>
        <w:tc>
          <w:tcPr>
            <w:tcW w:type="dxa" w:w="4253"/>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line="240"/>
              <w:jc w:val="left"/>
            </w:pPr>
            <w:r>
              <w:rPr>
                <w:b/>
                <w:bCs/>
                <w:sz w:val="20"/>
                <w:szCs w:val="20"/>
              </w:rPr>
              <w:t xml:space="preserve">Indicador</w:t>
            </w:r>
          </w:p>
        </w:tc>
        <w:tc>
          <w:tcPr>
            <w:tcW w:type="dxa" w:w="2409"/>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line="240"/>
              <w:jc w:val="center"/>
            </w:pPr>
            <w:r>
              <w:rPr>
                <w:b/>
                <w:bCs/>
                <w:sz w:val="20"/>
                <w:szCs w:val="20"/>
              </w:rPr>
              <w:t xml:space="preserve">Ciclo 2023</w:t>
            </w:r>
          </w:p>
        </w:tc>
        <w:tc>
          <w:tcPr>
            <w:tcW w:type="dxa" w:w="2409"/>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line="240"/>
              <w:jc w:val="center"/>
            </w:pPr>
            <w:r>
              <w:rPr>
                <w:b/>
                <w:bCs/>
                <w:sz w:val="20"/>
                <w:szCs w:val="20"/>
              </w:rPr>
              <w:t xml:space="preserve">Ciclo 2024</w:t>
            </w:r>
          </w:p>
        </w:tc>
      </w:tr>
      <w:tr>
        <w:trPr>
          <w:cantSplit/>
          <w:tblHeader w:val="false"/>
        </w:trPr>
        <w:tc>
          <w:tcPr>
            <w:tcW w:type="dxa" w:w="4253"/>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Amostras analisadas</w:t>
            </w:r>
          </w:p>
        </w:tc>
        <w:tc>
          <w:tcPr>
            <w:tcW w:type="dxa" w:w="240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3.294</w:t>
            </w:r>
          </w:p>
        </w:tc>
        <w:tc>
          <w:tcPr>
            <w:tcW w:type="dxa" w:w="240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3.084</w:t>
            </w:r>
          </w:p>
        </w:tc>
      </w:tr>
      <w:tr>
        <w:trPr>
          <w:cantSplit/>
          <w:tblHeader w:val="false"/>
        </w:trPr>
        <w:tc>
          <w:tcPr>
            <w:tcW w:type="dxa" w:w="4253"/>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Municípios de coleta</w:t>
            </w:r>
          </w:p>
        </w:tc>
        <w:tc>
          <w:tcPr>
            <w:tcW w:type="dxa" w:w="240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76</w:t>
            </w:r>
          </w:p>
        </w:tc>
        <w:tc>
          <w:tcPr>
            <w:tcW w:type="dxa" w:w="240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88</w:t>
            </w:r>
          </w:p>
        </w:tc>
      </w:tr>
      <w:tr>
        <w:trPr>
          <w:cantSplit/>
          <w:tblHeader w:val="false"/>
        </w:trPr>
        <w:tc>
          <w:tcPr>
            <w:tcW w:type="dxa" w:w="4253"/>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Agrotóxicos pesquisados</w:t>
            </w:r>
          </w:p>
        </w:tc>
        <w:tc>
          <w:tcPr>
            <w:tcW w:type="dxa" w:w="240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338</w:t>
            </w:r>
          </w:p>
        </w:tc>
        <w:tc>
          <w:tcPr>
            <w:tcW w:type="dxa" w:w="240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338</w:t>
            </w:r>
          </w:p>
        </w:tc>
      </w:tr>
      <w:tr>
        <w:trPr>
          <w:cantSplit/>
          <w:tblHeader w:val="false"/>
        </w:trPr>
        <w:tc>
          <w:tcPr>
            <w:tcW w:type="dxa" w:w="4253"/>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Sem resíduo detectado</w:t>
            </w:r>
          </w:p>
        </w:tc>
        <w:tc>
          <w:tcPr>
            <w:tcW w:type="dxa" w:w="240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37,0%</w:t>
            </w:r>
          </w:p>
        </w:tc>
        <w:tc>
          <w:tcPr>
            <w:tcW w:type="dxa" w:w="240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25,6%</w:t>
            </w:r>
          </w:p>
        </w:tc>
      </w:tr>
      <w:tr>
        <w:trPr>
          <w:cantSplit/>
          <w:tblHeader w:val="false"/>
        </w:trPr>
        <w:tc>
          <w:tcPr>
            <w:tcW w:type="dxa" w:w="4253"/>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Com resíduo dentro do limite</w:t>
            </w:r>
          </w:p>
        </w:tc>
        <w:tc>
          <w:tcPr>
            <w:tcW w:type="dxa" w:w="240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36,9%</w:t>
            </w:r>
          </w:p>
        </w:tc>
        <w:tc>
          <w:tcPr>
            <w:tcW w:type="dxa" w:w="240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53,8%</w:t>
            </w:r>
          </w:p>
        </w:tc>
      </w:tr>
      <w:tr>
        <w:trPr>
          <w:cantSplit/>
          <w:tblHeader w:val="false"/>
        </w:trPr>
        <w:tc>
          <w:tcPr>
            <w:tcW w:type="dxa" w:w="4253"/>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Insatisfatórias</w:t>
            </w:r>
          </w:p>
        </w:tc>
        <w:tc>
          <w:tcPr>
            <w:tcW w:type="dxa" w:w="240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26,1%</w:t>
            </w:r>
          </w:p>
        </w:tc>
        <w:tc>
          <w:tcPr>
            <w:tcW w:type="dxa" w:w="240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20,6%</w:t>
            </w:r>
          </w:p>
        </w:tc>
      </w:tr>
      <w:tr>
        <w:trPr>
          <w:cantSplit/>
          <w:tblHeader w:val="false"/>
        </w:trPr>
        <w:tc>
          <w:tcPr>
            <w:tcW w:type="dxa" w:w="4253"/>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Resíduo não permitido para a cultura</w:t>
            </w:r>
          </w:p>
        </w:tc>
        <w:tc>
          <w:tcPr>
            <w:tcW w:type="dxa" w:w="240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21,8%</w:t>
            </w:r>
          </w:p>
        </w:tc>
        <w:tc>
          <w:tcPr>
            <w:tcW w:type="dxa" w:w="240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12,2%</w:t>
            </w:r>
          </w:p>
        </w:tc>
      </w:tr>
      <w:tr>
        <w:trPr>
          <w:cantSplit/>
          <w:tblHeader w:val="false"/>
        </w:trPr>
        <w:tc>
          <w:tcPr>
            <w:tcW w:type="dxa" w:w="4253"/>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Resíduo acima do LMR</w:t>
            </w:r>
          </w:p>
        </w:tc>
        <w:tc>
          <w:tcPr>
            <w:tcW w:type="dxa" w:w="240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6,9%</w:t>
            </w:r>
          </w:p>
        </w:tc>
        <w:tc>
          <w:tcPr>
            <w:tcW w:type="dxa" w:w="240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5,6%</w:t>
            </w:r>
          </w:p>
        </w:tc>
      </w:tr>
      <w:tr>
        <w:trPr>
          <w:cantSplit/>
          <w:tblHeader w:val="false"/>
        </w:trPr>
        <w:tc>
          <w:tcPr>
            <w:tcW w:type="dxa" w:w="4253"/>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Potencial risco agudo</w:t>
            </w:r>
          </w:p>
        </w:tc>
        <w:tc>
          <w:tcPr>
            <w:tcW w:type="dxa" w:w="240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0,67%</w:t>
            </w:r>
          </w:p>
        </w:tc>
        <w:tc>
          <w:tcPr>
            <w:tcW w:type="dxa" w:w="240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0,39%</w:t>
            </w:r>
          </w:p>
        </w:tc>
      </w:tr>
      <w:tr>
        <w:trPr>
          <w:cantSplit/>
          <w:tblHeader w:val="false"/>
        </w:trPr>
        <w:tc>
          <w:tcPr>
            <w:tcW w:type="dxa" w:w="4253"/>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40"/>
              <w:jc w:val="left"/>
            </w:pPr>
            <w:r>
              <w:rPr>
                <w:sz w:val="20"/>
                <w:szCs w:val="20"/>
              </w:rPr>
              <w:t xml:space="preserve">Potencial risco crônico</w:t>
            </w:r>
          </w:p>
        </w:tc>
        <w:tc>
          <w:tcPr>
            <w:tcW w:type="dxa" w:w="2409"/>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40"/>
              <w:jc w:val="center"/>
            </w:pPr>
            <w:r>
              <w:rPr>
                <w:sz w:val="20"/>
                <w:szCs w:val="20"/>
              </w:rPr>
              <w:t xml:space="preserve">Não identificado</w:t>
            </w:r>
          </w:p>
        </w:tc>
        <w:tc>
          <w:tcPr>
            <w:tcW w:type="dxa" w:w="2409"/>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40"/>
              <w:jc w:val="center"/>
            </w:pPr>
            <w:r>
              <w:rPr>
                <w:sz w:val="20"/>
                <w:szCs w:val="20"/>
              </w:rPr>
              <w:t xml:space="preserve">Não identificado</w:t>
            </w:r>
          </w:p>
        </w:tc>
      </w:tr>
    </w:tbl>
    <w:p>
      <w:pPr>
        <w:spacing w:after="240" w:before="60" w:line="240"/>
        <w:jc w:val="left"/>
      </w:pPr>
      <w:r>
        <w:rPr>
          <w:sz w:val="20"/>
          <w:szCs w:val="20"/>
        </w:rPr>
        <w:t xml:space="preserve">Fonte: elaborado pela autora com base em Anvisa (2024a; 2025) e Revista Fórum (2024).</w:t>
      </w:r>
    </w:p>
    <w:p>
      <w:pPr>
        <w:spacing w:after="0" w:line="360" w:lineRule="auto"/>
        <w:ind w:firstLine="709"/>
        <w:jc w:val="both"/>
      </w:pPr>
      <w:r>
        <w:t xml:space="preserve">Observa-se que a principal causa de irregularidade é o uso de agrotóxicos não autorizados para a cultura, e não o excesso de produtos permitidos. Isso aponta para problemas de orientação técnica ao produtor e de fiscalização. No ciclo 2023, o carbofurano, proibido desde 2017, foi encontrado em 18 amostras de laranja, tomate, pimentão, abacaxi e goiaba (REVISTA FÓRUM, 2024). No ciclo 2024, ele ainda apareceu em duas amostras de laranja com potencial risco agudo (ANVISA, 2025).</w:t>
      </w:r>
    </w:p>
    <w:p>
      <w:pPr>
        <w:spacing w:after="0" w:line="360" w:lineRule="auto"/>
        <w:ind w:firstLine="709"/>
        <w:jc w:val="both"/>
      </w:pPr>
      <w:r>
        <w:t xml:space="preserve">A Tabela 2 apresenta o percentual de amostras insatisfatórias por alimento no ciclo 2024. Esses dados constituem a base numérica do jogo.</w:t>
      </w:r>
    </w:p>
    <w:p>
      <w:pPr>
        <w:keepNext/>
        <w:spacing w:after="60" w:before="240" w:line="240"/>
        <w:jc w:val="center"/>
      </w:pPr>
      <w:r>
        <w:rPr>
          <w:sz w:val="20"/>
          <w:szCs w:val="20"/>
        </w:rPr>
        <w:t xml:space="preserve">Tabela 2 – Amostras insatisfatórias por alimento no PARA, ciclo 2024</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35"/>
        <w:gridCol w:w="1701"/>
        <w:gridCol w:w="2835"/>
        <w:gridCol w:w="1700"/>
      </w:tblGrid>
      <w:tr>
        <w:trPr>
          <w:cantSplit/>
          <w:tblHeader/>
        </w:trPr>
        <w:tc>
          <w:tcPr>
            <w:tcW w:type="dxa" w:w="2835"/>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line="240"/>
              <w:jc w:val="left"/>
            </w:pPr>
            <w:r>
              <w:rPr>
                <w:b/>
                <w:bCs/>
                <w:sz w:val="20"/>
                <w:szCs w:val="20"/>
              </w:rPr>
              <w:t xml:space="preserve">Alimento</w:t>
            </w:r>
          </w:p>
        </w:tc>
        <w:tc>
          <w:tcPr>
            <w:tcW w:type="dxa" w:w="1701"/>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line="240"/>
              <w:jc w:val="center"/>
            </w:pPr>
            <w:r>
              <w:rPr>
                <w:b/>
                <w:bCs/>
                <w:sz w:val="20"/>
                <w:szCs w:val="20"/>
              </w:rPr>
              <w:t xml:space="preserve">Insatisfatórias</w:t>
            </w:r>
          </w:p>
        </w:tc>
        <w:tc>
          <w:tcPr>
            <w:tcW w:type="dxa" w:w="2835"/>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line="240"/>
              <w:jc w:val="center"/>
            </w:pPr>
            <w:r>
              <w:rPr>
                <w:b/>
                <w:bCs/>
                <w:sz w:val="20"/>
                <w:szCs w:val="20"/>
              </w:rPr>
              <w:t xml:space="preserve">Alimento</w:t>
            </w:r>
          </w:p>
        </w:tc>
        <w:tc>
          <w:tcPr>
            <w:tcW w:type="dxa" w:w="170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line="240"/>
              <w:jc w:val="center"/>
            </w:pPr>
            <w:r>
              <w:rPr>
                <w:b/>
                <w:bCs/>
                <w:sz w:val="20"/>
                <w:szCs w:val="20"/>
              </w:rPr>
              <w:t xml:space="preserve">Insatisfatórias</w:t>
            </w:r>
          </w:p>
        </w:tc>
      </w:tr>
      <w:tr>
        <w:trPr>
          <w:cantSplit/>
          <w:tblHeader w:val="false"/>
        </w:trPr>
        <w:tc>
          <w:tcPr>
            <w:tcW w:type="dxa" w:w="2835"/>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Pepino</w:t>
            </w:r>
          </w:p>
        </w:tc>
        <w:tc>
          <w:tcPr>
            <w:tcW w:type="dxa" w:w="1701"/>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46%</w:t>
            </w:r>
          </w:p>
        </w:tc>
        <w:tc>
          <w:tcPr>
            <w:tcW w:type="dxa" w:w="2835"/>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Aveia</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18%</w:t>
            </w:r>
          </w:p>
        </w:tc>
      </w:tr>
      <w:tr>
        <w:trPr>
          <w:cantSplit/>
          <w:tblHeader w:val="false"/>
        </w:trPr>
        <w:tc>
          <w:tcPr>
            <w:tcW w:type="dxa" w:w="2835"/>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Laranja</w:t>
            </w:r>
          </w:p>
        </w:tc>
        <w:tc>
          <w:tcPr>
            <w:tcW w:type="dxa" w:w="1701"/>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39%</w:t>
            </w:r>
          </w:p>
        </w:tc>
        <w:tc>
          <w:tcPr>
            <w:tcW w:type="dxa" w:w="2835"/>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Cebola</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13%</w:t>
            </w:r>
          </w:p>
        </w:tc>
      </w:tr>
      <w:tr>
        <w:trPr>
          <w:cantSplit/>
          <w:tblHeader w:val="false"/>
        </w:trPr>
        <w:tc>
          <w:tcPr>
            <w:tcW w:type="dxa" w:w="2835"/>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Couve</w:t>
            </w:r>
          </w:p>
        </w:tc>
        <w:tc>
          <w:tcPr>
            <w:tcW w:type="dxa" w:w="1701"/>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35%</w:t>
            </w:r>
          </w:p>
        </w:tc>
        <w:tc>
          <w:tcPr>
            <w:tcW w:type="dxa" w:w="2835"/>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Banana</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12%</w:t>
            </w:r>
          </w:p>
        </w:tc>
      </w:tr>
      <w:tr>
        <w:trPr>
          <w:cantSplit/>
          <w:tblHeader w:val="false"/>
        </w:trPr>
        <w:tc>
          <w:tcPr>
            <w:tcW w:type="dxa" w:w="2835"/>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Uva</w:t>
            </w:r>
          </w:p>
        </w:tc>
        <w:tc>
          <w:tcPr>
            <w:tcW w:type="dxa" w:w="1701"/>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28%</w:t>
            </w:r>
          </w:p>
        </w:tc>
        <w:tc>
          <w:tcPr>
            <w:tcW w:type="dxa" w:w="2835"/>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Soja</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8%</w:t>
            </w:r>
          </w:p>
        </w:tc>
      </w:tr>
      <w:tr>
        <w:trPr>
          <w:cantSplit/>
          <w:tblHeader w:val="false"/>
        </w:trPr>
        <w:tc>
          <w:tcPr>
            <w:tcW w:type="dxa" w:w="2835"/>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Maçã</w:t>
            </w:r>
          </w:p>
        </w:tc>
        <w:tc>
          <w:tcPr>
            <w:tcW w:type="dxa" w:w="1701"/>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27%</w:t>
            </w:r>
          </w:p>
        </w:tc>
        <w:tc>
          <w:tcPr>
            <w:tcW w:type="dxa" w:w="2835"/>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Pera</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7%</w:t>
            </w:r>
          </w:p>
        </w:tc>
      </w:tr>
      <w:tr>
        <w:trPr>
          <w:cantSplit/>
          <w:tblHeader w:val="false"/>
        </w:trPr>
        <w:tc>
          <w:tcPr>
            <w:tcW w:type="dxa" w:w="2835"/>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Abobrinha</w:t>
            </w:r>
          </w:p>
        </w:tc>
        <w:tc>
          <w:tcPr>
            <w:tcW w:type="dxa" w:w="1701"/>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26%</w:t>
            </w:r>
          </w:p>
        </w:tc>
        <w:tc>
          <w:tcPr>
            <w:tcW w:type="dxa" w:w="2835"/>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Milho</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3%</w:t>
            </w:r>
          </w:p>
        </w:tc>
      </w:tr>
      <w:tr>
        <w:trPr>
          <w:cantSplit/>
          <w:tblHeader w:val="false"/>
        </w:trPr>
        <w:tc>
          <w:tcPr>
            <w:tcW w:type="dxa" w:w="2835"/>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40"/>
              <w:jc w:val="left"/>
            </w:pPr>
            <w:r>
              <w:rPr>
                <w:sz w:val="20"/>
                <w:szCs w:val="20"/>
              </w:rPr>
              <w:t xml:space="preserve">Mamão</w:t>
            </w:r>
          </w:p>
        </w:tc>
        <w:tc>
          <w:tcPr>
            <w:tcW w:type="dxa" w:w="1701"/>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40"/>
              <w:jc w:val="center"/>
            </w:pPr>
            <w:r>
              <w:rPr>
                <w:sz w:val="20"/>
                <w:szCs w:val="20"/>
              </w:rPr>
              <w:t xml:space="preserve">21%</w:t>
            </w:r>
          </w:p>
        </w:tc>
        <w:tc>
          <w:tcPr>
            <w:tcW w:type="dxa" w:w="2835"/>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40"/>
              <w:jc w:val="center"/>
            </w:pPr>
            <w:r>
              <w:rPr>
                <w:sz w:val="20"/>
                <w:szCs w:val="20"/>
              </w:rPr>
              <w:t xml:space="preserve">Farinha de trigo</w:t>
            </w:r>
          </w:p>
        </w:tc>
        <w:tc>
          <w:tcPr>
            <w:tcW w:type="dxa" w:w="170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40"/>
              <w:jc w:val="center"/>
            </w:pPr>
            <w:r>
              <w:rPr>
                <w:sz w:val="20"/>
                <w:szCs w:val="20"/>
              </w:rPr>
              <w:t xml:space="preserve">2%</w:t>
            </w:r>
          </w:p>
        </w:tc>
      </w:tr>
    </w:tbl>
    <w:p>
      <w:pPr>
        <w:spacing w:after="240" w:before="60" w:line="240"/>
        <w:jc w:val="left"/>
      </w:pPr>
      <w:r>
        <w:rPr>
          <w:sz w:val="20"/>
          <w:szCs w:val="20"/>
        </w:rPr>
        <w:t xml:space="preserve">Fonte: elaborado pela autora com base em Brasil de Fato (2025).</w:t>
      </w:r>
    </w:p>
    <w:p>
      <w:pPr>
        <w:spacing w:after="0" w:line="360" w:lineRule="auto"/>
        <w:ind w:firstLine="709"/>
        <w:jc w:val="both"/>
      </w:pPr>
      <w:r>
        <w:t xml:space="preserve">No ciclo 2024, as amostras com potencial risco agudo concentraram-se na uva (seis amostras, principalmente pelo etefom), na laranja (cinco amostras, por imazalil e carbofurano) e na abobrinha (uma amostra, por formetanato) (ANVISA, 2025). Para os alimentos monitorados em ciclos anteriores, levantamentos dos ciclos 2018, 2019 e 2022 indicam que cerca de 80% das amostras de pimentão continham agrotóxicos não autorizados, seguidas por goiaba (40%), cenoura (39%) e tomate (33,5%) (METRÓPOLES, 2023).</w:t>
      </w:r>
    </w:p>
    <w:p>
      <w:pPr>
        <w:spacing w:after="0" w:line="360" w:lineRule="auto"/>
        <w:ind w:firstLine="709"/>
        <w:jc w:val="both"/>
      </w:pPr>
      <w:r>
        <w:t xml:space="preserve">É importante destacar, como faz a própria Anvisa (2025), que “amostras insatisfatórias não necessariamente significam potenciais riscos ao consumidor”. Também há sinais de avanço: o ciclo 2024 apresentou o menor percentual de amostras insatisfatórias desde 2017, resultado que a agência relaciona à reavaliação de 17 ingredientes ativos, dos quais 10 foram proibidos, com mais de 100 produtos retirados do mercado (ANVISA, 2025). A agência reconhece ainda que muitos alimentos apresentam mais de um agrotóxico na mesma amostra e desenvolve, entre 2024 e 2027, um projeto para estimar os riscos dessa exposição combinada (ANVISA, 2024a).</w:t>
      </w:r>
    </w:p>
    <w:p>
      <w:pPr>
        <w:pStyle w:val="Heading2"/>
      </w:pPr>
      <w:r>
        <w:t xml:space="preserve">4.6 Higienização dos alimentos: o que funciona e o que é mito</w:t>
      </w:r>
    </w:p>
    <w:p>
      <w:pPr>
        <w:spacing w:after="0" w:line="360" w:lineRule="auto"/>
        <w:ind w:firstLine="709"/>
        <w:jc w:val="both"/>
      </w:pPr>
      <w:r>
        <w:t xml:space="preserve">A Anvisa (2025) recomenda lavar frutas e hortaliças em água corrente, com bucha ou escovinha separada, ressaltando que a lavagem ajuda a reduzir os resíduos “que ficam na parte externa do alimento”. A higienização com hipoclorito é indicada para reduzir riscos microbiológicos, e não como forma de remover agrotóxicos.</w:t>
      </w:r>
    </w:p>
    <w:p>
      <w:pPr>
        <w:spacing w:after="0" w:line="360" w:lineRule="auto"/>
        <w:ind w:firstLine="709"/>
        <w:jc w:val="both"/>
      </w:pPr>
      <w:r>
        <w:t xml:space="preserve">O bicarbonato de sódio pode ajudar a remover resíduos superficiais de alguns agrotóxicos. A orientação é dissolver uma colher de sopa em um litro de água e deixar os alimentos de molho por 15 a 20 minutos, enxaguando em seguida (MARINS, 2025). Em estudo com maçãs, a imersão em solução de bicarbonato por 15 minutos removeu cerca de 80% do tiabendazol e 96% do fosmete presentes na superfície, mas não os resíduos que haviam penetrado na fruta (YANG </w:t>
      </w:r>
      <w:r>
        <w:rPr>
          <w:i/>
          <w:iCs/>
        </w:rPr>
        <w:t xml:space="preserve">et al.</w:t>
      </w:r>
      <w:r>
        <w:t xml:space="preserve">, 2017). O vinagre tem efeito limitado sobre compostos químicos, e o uso de sabão ou detergente não é recomendado, pois pode deixar resíduos tóxicos e não é eficaz contra agrotóxicos (MARINS, 2025). Descascar reduz significativamente os resíduos superficiais, e cozinhar ajuda a degradar parte dos resíduos instáveis ao calor.</w:t>
      </w:r>
    </w:p>
    <w:p>
      <w:pPr>
        <w:spacing w:after="0" w:line="360" w:lineRule="auto"/>
        <w:ind w:firstLine="709"/>
        <w:jc w:val="both"/>
      </w:pPr>
      <w:r>
        <w:t xml:space="preserve">Esses resultados mostram que a higienização reduz, mas não elimina, a exposição. Por isso, a Anvisa (2025) também recomenda escolher alimentos de época, que normalmente recebem menor carga de agrotóxicos, e alimentos rastreáveis, rotulados com a identificação do produtor, sem deixar de consumir frutas e hortaliças: a Organização Mundial da Saúde recomenda ao menos 400 g por dia, e a base da alimentação deve ser composta por alimentos </w:t>
      </w:r>
      <w:r>
        <w:rPr>
          <w:i/>
          <w:iCs/>
        </w:rPr>
        <w:t xml:space="preserve">in natura</w:t>
      </w:r>
      <w:r>
        <w:t xml:space="preserve"> ou minimamente processados (BRASIL, 2014; ANVISA, 2025).</w:t>
      </w:r>
    </w:p>
    <w:p>
      <w:pPr>
        <w:pStyle w:val="Heading2"/>
      </w:pPr>
      <w:r>
        <w:t xml:space="preserve">4.7 Alimentos ultraprocessados, rastreabilidade e alternativas</w:t>
      </w:r>
    </w:p>
    <w:p>
      <w:pPr>
        <w:spacing w:after="0" w:line="360" w:lineRule="auto"/>
        <w:ind w:firstLine="709"/>
        <w:jc w:val="both"/>
      </w:pPr>
      <w:r>
        <w:t xml:space="preserve">Substituir frutas e hortaliças por produtos industrializados não é uma alternativa segura. O Instituto Brasileiro de Defesa do Consumidor (Idec) analisou, em quatro volumes da pesquisa “Tem veneno nesse pacote”, produtos ultraprocessados vendidos no Brasil e encontrou resíduos de agrotóxicos em 41,7% a 59,3% dos produtos testados, incluindo glifosato e glufosinato. No volume 4, dedicado a produtos para bebês e crianças pequenas, 5 dos 12 produtos apresentaram resíduos. Os ultraprocessados não possuem limites máximos de resíduos específicos e não são monitorados pelo PARA (IDEC, 2026).</w:t>
      </w:r>
    </w:p>
    <w:p>
      <w:pPr>
        <w:spacing w:after="0" w:line="360" w:lineRule="auto"/>
        <w:ind w:firstLine="709"/>
        <w:jc w:val="both"/>
      </w:pPr>
      <w:r>
        <w:t xml:space="preserve">A rastreabilidade, isto é, a possibilidade de identificar a origem do alimento, é regulamentada pela Instrução Normativa Conjunta nº 2/2018 (BRASIL, 2018). Mesmo assim, no ciclo 2024 do PARA, apenas 31,5% das amostras coletadas em supermercados puderam ser rastreadas até o produtor rural, enquanto 59,4% só puderam ser identificadas até o distribuidor (ANVISA, 2025).</w:t>
      </w:r>
    </w:p>
    <w:p>
      <w:pPr>
        <w:spacing w:after="0" w:line="360" w:lineRule="auto"/>
        <w:ind w:firstLine="709"/>
        <w:jc w:val="both"/>
      </w:pPr>
      <w:r>
        <w:t xml:space="preserve">Os alimentos orgânicos, cultivados sem agrotóxicos sintéticos, são uma alternativa. No Brasil, a garantia da qualidade orgânica pode ocorrer por certificação por auditoria, por Sistemas Participativos de Garantia, por meio de Organismos Participativos de Avaliação da Conformidade (OPAC), ou por Organizações de Controle Social (OCS), que permitem a venda direta do agricultor familiar ao consumidor. Também estão em andamento políticas públicas como o Programa Nacional de Redução de Agrotóxicos (Pronara), lançado em 2025 (ANVISA, 2025; IDEC, 2026).</w:t>
      </w:r>
    </w:p>
    <w:p>
      <w:pPr>
        <w:pStyle w:val="Heading2"/>
      </w:pPr>
      <w:r>
        <w:t xml:space="preserve">4.8 Uso seguro de agrotóxicos: o que diz a legislação</w:t>
      </w:r>
    </w:p>
    <w:p>
      <w:pPr>
        <w:spacing w:after="0" w:line="360" w:lineRule="auto"/>
        <w:ind w:firstLine="709"/>
        <w:jc w:val="both"/>
      </w:pPr>
      <w:r>
        <w:t xml:space="preserve">A Lei nº 7.802/1989, conhecida como Lei dos Agrotóxicos, estabelece que esses produtos só podem ser vendidos mediante receituário agronômico e que cada produto é registrado para culturas e pragas específicas, indicadas no rótulo e na bula (BRASIL, 1989). Usar um agrotóxico em uma cultura para a qual ele não é registrado é justamente a principal causa de irregularidade encontrada pelo PARA: 12,2% das amostras do ciclo 2024 (ANVISA, 2025).</w:t>
      </w:r>
    </w:p>
    <w:p>
      <w:pPr>
        <w:spacing w:after="0" w:line="360" w:lineRule="auto"/>
        <w:ind w:firstLine="709"/>
        <w:jc w:val="both"/>
      </w:pPr>
      <w:r>
        <w:t xml:space="preserve">Outras regras de uso seguro também orientam a mecânica do jogo: o respeito ao intervalo de segurança, ou carência, entre a aplicação e a colheita; o uso de equipamentos de proteção individual (EPI) durante a aplicação; e a devolução das embalagens vazias, após tríplice lavagem, ao estabelecimento indicado na nota fiscal, conforme a Lei nº 9.974/2000 (BRASIL, 2000). Em caso de intoxicação, a população pode recorrer ao Disque-Intoxicação da Anvisa (0800 722 6001). Como alternativa ao veneno, a agroecologia propõe práticas como o controle biológico (por exemplo, com joaninhas), a catação manual, a poda de partes doentes e o plantio consorciado com flores que atraem inimigos naturais das pragas.</w:t>
      </w:r>
    </w:p>
    <w:p>
      <w:pPr>
        <w:pStyle w:val="Heading1"/>
        <w:pageBreakBefore/>
      </w:pPr>
      <w:r>
        <w:t xml:space="preserve">5 DIAGNÓSTICO LOCAL: MOGI DAS CRUZES</w:t>
      </w:r>
    </w:p>
    <w:p>
      <w:pPr>
        <w:pStyle w:val="Heading2"/>
      </w:pPr>
      <w:r>
        <w:t xml:space="preserve">5.1 Percepção dos consumidores</w:t>
      </w:r>
    </w:p>
    <w:p>
      <w:pPr>
        <w:spacing w:after="0" w:line="360" w:lineRule="auto"/>
        <w:ind w:firstLine="709"/>
        <w:jc w:val="both"/>
      </w:pPr>
      <w:r>
        <w:t xml:space="preserve">O questionário “Mapeamento de Percepção do Consumidor: Agrotóxicos e Hábitos Alimentares em Mogi das Cruzes” foi aplicado de forma digital, entre agosto e setembro de 2026, a consumidores responsáveis pela compra de hortifrúti residentes ou atuantes no município. Foram obtidas 57 respostas, a maioria de pessoas entre 18 e 29 anos (56,1%) e entre 30 e 49 anos (38,6%). A Tabela 3 resume os principais resultados.</w:t>
      </w:r>
    </w:p>
    <w:p>
      <w:pPr>
        <w:keepNext/>
        <w:spacing w:after="60" w:before="240" w:line="240"/>
        <w:jc w:val="center"/>
      </w:pPr>
      <w:r>
        <w:rPr>
          <w:sz w:val="20"/>
          <w:szCs w:val="20"/>
        </w:rPr>
        <w:t xml:space="preserve">Tabela 3 – Principais resultados do questionário aplicado em Mogi das Cruzes (n = 57)</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521"/>
        <w:gridCol w:w="2550"/>
      </w:tblGrid>
      <w:tr>
        <w:trPr>
          <w:cantSplit/>
          <w:tblHeader/>
        </w:trPr>
        <w:tc>
          <w:tcPr>
            <w:tcW w:type="dxa" w:w="6521"/>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line="240"/>
              <w:jc w:val="left"/>
            </w:pPr>
            <w:r>
              <w:rPr>
                <w:b/>
                <w:bCs/>
                <w:sz w:val="20"/>
                <w:szCs w:val="20"/>
              </w:rPr>
              <w:t xml:space="preserve">Resultado</w:t>
            </w:r>
          </w:p>
        </w:tc>
        <w:tc>
          <w:tcPr>
            <w:tcW w:type="dxa" w:w="255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line="240"/>
              <w:jc w:val="center"/>
            </w:pPr>
            <w:r>
              <w:rPr>
                <w:b/>
                <w:bCs/>
                <w:sz w:val="20"/>
                <w:szCs w:val="20"/>
              </w:rPr>
              <w:t xml:space="preserve">Percentual</w:t>
            </w:r>
          </w:p>
        </w:tc>
      </w:tr>
      <w:tr>
        <w:trPr>
          <w:cantSplit/>
          <w:tblHeader w:val="false"/>
        </w:trPr>
        <w:tc>
          <w:tcPr>
            <w:tcW w:type="dxa" w:w="6521"/>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Compram hortifrúti principalmente em supermercados</w:t>
            </w:r>
          </w:p>
        </w:tc>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56,1%</w:t>
            </w:r>
          </w:p>
        </w:tc>
      </w:tr>
      <w:tr>
        <w:trPr>
          <w:cantSplit/>
          <w:tblHeader w:val="false"/>
        </w:trPr>
        <w:tc>
          <w:tcPr>
            <w:tcW w:type="dxa" w:w="6521"/>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Escolhem frutas e hortaliças principalmente pela aparência e frescor</w:t>
            </w:r>
          </w:p>
        </w:tc>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73,7%</w:t>
            </w:r>
          </w:p>
        </w:tc>
      </w:tr>
      <w:tr>
        <w:trPr>
          <w:cantSplit/>
          <w:tblHeader w:val="false"/>
        </w:trPr>
        <w:tc>
          <w:tcPr>
            <w:tcW w:type="dxa" w:w="6521"/>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Escolhem principalmente pelo preço</w:t>
            </w:r>
          </w:p>
        </w:tc>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19,3%</w:t>
            </w:r>
          </w:p>
        </w:tc>
      </w:tr>
      <w:tr>
        <w:trPr>
          <w:cantSplit/>
          <w:tblHeader w:val="false"/>
        </w:trPr>
        <w:tc>
          <w:tcPr>
            <w:tcW w:type="dxa" w:w="6521"/>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Escolhem principalmente por ser orgânico/sem agrotóxicos</w:t>
            </w:r>
          </w:p>
        </w:tc>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1,8%</w:t>
            </w:r>
          </w:p>
        </w:tc>
      </w:tr>
      <w:tr>
        <w:trPr>
          <w:cantSplit/>
          <w:tblHeader w:val="false"/>
        </w:trPr>
        <w:tc>
          <w:tcPr>
            <w:tcW w:type="dxa" w:w="6521"/>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Nunca verificam se o alimento é produzido no município ou no Cinturão Verde</w:t>
            </w:r>
          </w:p>
        </w:tc>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68,4%</w:t>
            </w:r>
          </w:p>
        </w:tc>
      </w:tr>
      <w:tr>
        <w:trPr>
          <w:cantSplit/>
          <w:tblHeader w:val="false"/>
        </w:trPr>
        <w:tc>
          <w:tcPr>
            <w:tcW w:type="dxa" w:w="6521"/>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Consideram inexistentes as informações sobre cultivo no ponto de venda</w:t>
            </w:r>
          </w:p>
        </w:tc>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45,6%</w:t>
            </w:r>
          </w:p>
        </w:tc>
      </w:tr>
      <w:tr>
        <w:trPr>
          <w:cantSplit/>
          <w:tblHeader w:val="false"/>
        </w:trPr>
        <w:tc>
          <w:tcPr>
            <w:tcW w:type="dxa" w:w="6521"/>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Acreditam que agrotóxicos causam impactos significativos à saúde</w:t>
            </w:r>
          </w:p>
        </w:tc>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86,0%</w:t>
            </w:r>
          </w:p>
        </w:tc>
      </w:tr>
      <w:tr>
        <w:trPr>
          <w:cantSplit/>
          <w:tblHeader w:val="false"/>
        </w:trPr>
        <w:tc>
          <w:tcPr>
            <w:tcW w:type="dxa" w:w="6521"/>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Citaram o preço como dificuldade para consumir orgânicos</w:t>
            </w:r>
          </w:p>
        </w:tc>
        <w:tc>
          <w:tcPr>
            <w:tcW w:type="dxa" w:w="255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45,6%</w:t>
            </w:r>
          </w:p>
        </w:tc>
      </w:tr>
      <w:tr>
        <w:trPr>
          <w:cantSplit/>
          <w:tblHeader w:val="false"/>
        </w:trPr>
        <w:tc>
          <w:tcPr>
            <w:tcW w:type="dxa" w:w="6521"/>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40"/>
              <w:jc w:val="left"/>
            </w:pPr>
            <w:r>
              <w:rPr>
                <w:sz w:val="20"/>
                <w:szCs w:val="20"/>
              </w:rPr>
              <w:t xml:space="preserve">Mudariam total ou parcialmente seus hábitos com acesso e preço justo</w:t>
            </w:r>
          </w:p>
        </w:tc>
        <w:tc>
          <w:tcPr>
            <w:tcW w:type="dxa" w:w="255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40"/>
              <w:jc w:val="center"/>
            </w:pPr>
            <w:r>
              <w:rPr>
                <w:sz w:val="20"/>
                <w:szCs w:val="20"/>
              </w:rPr>
              <w:t xml:space="preserve">94,7%</w:t>
            </w:r>
          </w:p>
        </w:tc>
      </w:tr>
    </w:tbl>
    <w:p>
      <w:pPr>
        <w:spacing w:after="240" w:before="60" w:line="240"/>
        <w:jc w:val="left"/>
      </w:pPr>
      <w:r>
        <w:rPr>
          <w:sz w:val="20"/>
          <w:szCs w:val="20"/>
        </w:rPr>
        <w:t xml:space="preserve">Fonte: elaborado pela autora com base em dados da pesquisa (2026). Nota: algumas questões admitiam mais de uma resposta.</w:t>
      </w:r>
    </w:p>
    <w:p>
      <w:pPr>
        <w:spacing w:after="0" w:line="360" w:lineRule="auto"/>
        <w:ind w:firstLine="709"/>
        <w:jc w:val="both"/>
      </w:pPr>
      <w:r>
        <w:t xml:space="preserve">Os dados confirmam a hipótese do grupo de que preço e acesso são barreiras importantes. O resultado mais surpreendente, porém, é a distância entre preocupação e prática: embora a grande maioria reconheça os riscos, quase ninguém considera os agrotóxicos ao escolher um alimento, e a maioria não verifica sua origem. Nas respostas abertas, os participantes sugeriram ampliar feiras agroecológicas nos bairros, oferecer preços justos para consumidores e produtores, aumentar a fiscalização e dar mais clareza às informações nos pontos de venda.</w:t>
      </w:r>
    </w:p>
    <w:p>
      <w:pPr>
        <w:pStyle w:val="Heading2"/>
      </w:pPr>
      <w:r>
        <w:t xml:space="preserve">5.2 Produção agrícola e produtores orgânicos do município</w:t>
      </w:r>
    </w:p>
    <w:p>
      <w:pPr>
        <w:spacing w:after="0" w:line="360" w:lineRule="auto"/>
        <w:ind w:firstLine="709"/>
        <w:jc w:val="both"/>
      </w:pPr>
      <w:r>
        <w:t xml:space="preserve">Segundo a Produção Agrícola Municipal do IBGE, o tomate é a principal lavoura temporária de Mogi das Cruzes, com cerca de 4.613 toneladas produzidas em 84 hectares e valor de produção de aproximadamente R$ 27 milhões em 2025. Também se destacam a mandioca (2.611 toneladas), a batata-doce (240 toneladas) e a soja (42 toneladas) (IBGE, 2026). As hortaliças folhosas, tradicionais do Cinturão Verde, não são contempladas por esse levantamento.</w:t>
      </w:r>
    </w:p>
    <w:p>
      <w:pPr>
        <w:spacing w:after="0" w:line="360" w:lineRule="auto"/>
        <w:ind w:firstLine="709"/>
        <w:jc w:val="both"/>
      </w:pPr>
      <w:r>
        <w:t xml:space="preserve">O Cadastro Nacional de Produtores Orgânicos do Ministério da Agricultura e Pecuária registra 17 cadastros ativos em Mogi das Cruzes: 11 vinculados a Organizações de Controle Social (como a Eco Mogi e a OCS Produtores Orgânicos de Mogi das Cruzes e Região), 4 a Organismos Participativos de Avaliação da Conformidade e 2 a certificadoras por auditoria (BRASIL, 2026). Esse dado mostra que existem alternativas locais, ainda pouco conhecidas pela população, que podem ser divulgadas pelo jogo.</w:t>
      </w:r>
    </w:p>
    <w:p>
      <w:pPr>
        <w:pStyle w:val="Heading1"/>
        <w:pageBreakBefore/>
      </w:pPr>
      <w:r>
        <w:t xml:space="preserve">6 PROPOSTA DO JOGO “HORTA LIMPA”</w:t>
      </w:r>
    </w:p>
    <w:p>
      <w:pPr>
        <w:pStyle w:val="Heading2"/>
      </w:pPr>
      <w:r>
        <w:t xml:space="preserve">6.1 Ideia central e narrativa</w:t>
      </w:r>
    </w:p>
    <w:p>
      <w:pPr>
        <w:spacing w:after="0" w:line="360" w:lineRule="auto"/>
        <w:ind w:firstLine="709"/>
        <w:jc w:val="both"/>
      </w:pPr>
      <w:r>
        <w:t xml:space="preserve">A “Horta Limpa” é um jogo digital de simulação de horta, em visão isométrica, inspirado no gênero de simulação de fazenda popularizado por Stardew Valley (CONCERNEDAPE, 2016). Desse gênero foram adaptadas a organização da tela, o ciclo de estações, a vila com personagens e as relações de amizade, mas todos os desenhos, personagens e textos foram criados para este projeto. A narrativa apresenta José Longuinho, que, depois de trinta anos na cidade grande, muda-se para Taiaçupeba, na zona rural de Mogi das Cruzes, no Cinturão Verde, para viver do que planta. José conta ao jogador que ouviu falar que uma em cada cinco amostras analisadas pela Anvisa estava irregular e que agrotóxico não tem cor, cheiro nem sabor. Como nunca plantou nada, ele pede ajuda: “se eu errar no veneno, quem come sou eu”.</w:t>
      </w:r>
    </w:p>
    <w:p>
      <w:pPr>
        <w:spacing w:after="0" w:line="360" w:lineRule="auto"/>
        <w:ind w:firstLine="709"/>
        <w:jc w:val="both"/>
      </w:pPr>
      <w:r>
        <w:t xml:space="preserve">A escolha de um personagem que cultiva e consome o próprio alimento aproxima o jogador da relação entre produção e consumo, tema central do diagnóstico, e cria um vínculo afetivo que motiva o cuidado. Um tutorial guiado pelo próprio José, em onze passos curtos, ensina cada ação destacando na tela o item ou o canteiro a ser tocado. A partida dura um ano de jogo, dividido em quatro estações de sete dias. Como no jogo de referência, as plantas crescem de um dia para o outro, desde que sejam regadas uma vez por dia; assim, o restante do dia fica livre para ir à vila, conversar com os vizinhos e explorar, o que reduz a pressão de tempo. Essa escolha segue a ideia de fluxo (</w:t>
      </w:r>
      <w:r>
        <w:rPr>
          <w:i/>
          <w:iCs/>
        </w:rPr>
        <w:t xml:space="preserve">flow</w:t>
      </w:r>
      <w:r>
        <w:t xml:space="preserve">) aplicada a jogos por Chen (2007): quando o desafio supera a habilidade do jogador, ele sente ansiedade e tende a desistir; quando é fácil demais, sente tédio. Por isso o ritmo foi ajustado para que o jogador iniciante tenha tempo de aprender, e quem quiser mais desafio possa acelerar o tempo. O relógio corre das 6h às 22h, uma hora de jogo equivale a sete segundos (cerca de dois minutos por dia), e o jogador pode pausar ou acelerar o tempo. A cada manhã, um resumo da noite mostra o que ficou pronto, quais plantas passaram sede e as novas pragas. O progresso é salvo automaticamente no navegador.</w:t>
      </w:r>
    </w:p>
    <w:p>
      <w:pPr>
        <w:spacing w:after="0" w:line="360" w:lineRule="auto"/>
        <w:ind w:firstLine="709"/>
        <w:jc w:val="both"/>
      </w:pPr>
      <w:r>
        <w:t xml:space="preserve">Como no jogo de referência, o mundo ocupa a tela inteira: o relógio, a data, a estação e o dinheiro ficam no canto superior direito; a barra de itens, com ferramentas, sementes, produtos e a cesta da colheita, fica na parte inferior; ao lado dela, uma barra mostra a saúde do José; e os menus de inventário, diário, mapa, guia e descanso ficam no canto inferior esquerdo. O mapa tem duas áreas: a fazenda do José e a vila, onde ficam a Cooperativa, a loja de agrotóxicos AgroMax, o galpão da Feira Comunitária e a praça com os vizinhos.</w:t>
      </w:r>
    </w:p>
    <w:p>
      <w:pPr>
        <w:pStyle w:val="Heading2"/>
      </w:pPr>
      <w:r>
        <w:t xml:space="preserve">6.2 Mecânicas e relação com a fundamentação</w:t>
      </w:r>
    </w:p>
    <w:p>
      <w:pPr>
        <w:spacing w:after="0" w:line="360" w:lineRule="auto"/>
        <w:ind w:firstLine="709"/>
        <w:jc w:val="both"/>
      </w:pPr>
      <w:r>
        <w:t xml:space="preserve">O Quadro 1 relaciona as principais mecânicas do jogo aos referenciais teóricos e aos dados que as sustentam.</w:t>
      </w:r>
    </w:p>
    <w:p>
      <w:pPr>
        <w:keepNext/>
        <w:spacing w:after="60" w:before="240" w:line="240"/>
        <w:jc w:val="center"/>
      </w:pPr>
      <w:r>
        <w:rPr>
          <w:sz w:val="20"/>
          <w:szCs w:val="20"/>
        </w:rPr>
        <w:t xml:space="preserve">Quadro 1 – Mecânicas do jogo e fundamentação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10"/>
        <w:gridCol w:w="3969"/>
        <w:gridCol w:w="2692"/>
      </w:tblGrid>
      <w:tr>
        <w:trPr>
          <w:cantSplit/>
          <w:tblHeader/>
        </w:trPr>
        <w:tc>
          <w:tcPr>
            <w:tcW w:type="dxa" w:w="2410"/>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line="240"/>
              <w:jc w:val="left"/>
            </w:pPr>
            <w:r>
              <w:rPr>
                <w:b/>
                <w:bCs/>
                <w:sz w:val="20"/>
                <w:szCs w:val="20"/>
              </w:rPr>
              <w:t xml:space="preserve">Mecânica</w:t>
            </w:r>
          </w:p>
        </w:tc>
        <w:tc>
          <w:tcPr>
            <w:tcW w:type="dxa" w:w="3969"/>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line="240"/>
              <w:jc w:val="center"/>
            </w:pPr>
            <w:r>
              <w:rPr>
                <w:b/>
                <w:bCs/>
                <w:sz w:val="20"/>
                <w:szCs w:val="20"/>
              </w:rPr>
              <w:t xml:space="preserve">O que o jogador faz</w:t>
            </w:r>
          </w:p>
        </w:tc>
        <w:tc>
          <w:tcPr>
            <w:tcW w:type="dxa" w:w="2692"/>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line="240"/>
              <w:jc w:val="center"/>
            </w:pPr>
            <w:r>
              <w:rPr>
                <w:b/>
                <w:bCs/>
                <w:sz w:val="20"/>
                <w:szCs w:val="20"/>
              </w:rPr>
              <w:t xml:space="preserve">Fundamentação</w:t>
            </w:r>
          </w:p>
        </w:tc>
      </w:tr>
      <w:tr>
        <w:trPr>
          <w:cantSplit/>
          <w:tblHeader w:val="false"/>
        </w:trPr>
        <w:tc>
          <w:tcPr>
            <w:tcW w:type="dxa" w:w="241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História e tutorial do José</w:t>
            </w:r>
          </w:p>
        </w:tc>
        <w:tc>
          <w:tcPr>
            <w:tcW w:type="dxa" w:w="396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Conhece o personagem e aprende jogando, passo a passo</w:t>
            </w:r>
          </w:p>
        </w:tc>
        <w:tc>
          <w:tcPr>
            <w:tcW w:type="dxa" w:w="2692"/>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Leitura de mundo e tema gerador (Freire); lúdico com intencionalidade (Paiva)</w:t>
            </w:r>
          </w:p>
        </w:tc>
      </w:tr>
      <w:tr>
        <w:trPr>
          <w:cantSplit/>
          <w:tblHeader w:val="false"/>
        </w:trPr>
        <w:tc>
          <w:tcPr>
            <w:tcW w:type="dxa" w:w="241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Plantar, regar, colher e as estações</w:t>
            </w:r>
          </w:p>
        </w:tc>
        <w:tc>
          <w:tcPr>
            <w:tcW w:type="dxa" w:w="396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Prepara a terra, planta alimentos da época, rega e colhe ao longo de quatro estações</w:t>
            </w:r>
          </w:p>
        </w:tc>
        <w:tc>
          <w:tcPr>
            <w:tcW w:type="dxa" w:w="2692"/>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Aprendizagem na interação com o meio (Piaget); alimentos de época (Anvisa, 2025)</w:t>
            </w:r>
          </w:p>
        </w:tc>
      </w:tr>
      <w:tr>
        <w:trPr>
          <w:cantSplit/>
          <w:tblHeader w:val="false"/>
        </w:trPr>
        <w:tc>
          <w:tcPr>
            <w:tcW w:type="dxa" w:w="241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Pragas, Cooperativa e AgroMax</w:t>
            </w:r>
          </w:p>
        </w:tc>
        <w:tc>
          <w:tcPr>
            <w:tcW w:type="dxa" w:w="396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Escolhe entre alternativas sem veneno e agrotóxicos com regras</w:t>
            </w:r>
          </w:p>
        </w:tc>
        <w:tc>
          <w:tcPr>
            <w:tcW w:type="dxa" w:w="2692"/>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Problematização (Freire); legislação (seção 4.8)</w:t>
            </w:r>
          </w:p>
        </w:tc>
      </w:tr>
      <w:tr>
        <w:trPr>
          <w:cantSplit/>
          <w:tblHeader w:val="false"/>
        </w:trPr>
        <w:tc>
          <w:tcPr>
            <w:tcW w:type="dxa" w:w="241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Tanque do quintal</w:t>
            </w:r>
          </w:p>
        </w:tc>
        <w:tc>
          <w:tcPr>
            <w:tcW w:type="dxa" w:w="396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Escolhe como lavar cada alimento antes de guardar</w:t>
            </w:r>
          </w:p>
        </w:tc>
        <w:tc>
          <w:tcPr>
            <w:tcW w:type="dxa" w:w="2692"/>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Anvisa (2025); Marins (2025); Yang et al. (2017)</w:t>
            </w:r>
          </w:p>
        </w:tc>
      </w:tr>
      <w:tr>
        <w:trPr>
          <w:cantSplit/>
          <w:tblHeader w:val="false"/>
        </w:trPr>
        <w:tc>
          <w:tcPr>
            <w:tcW w:type="dxa" w:w="241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Raio-X do laboratório</w:t>
            </w:r>
          </w:p>
        </w:tc>
        <w:tc>
          <w:tcPr>
            <w:tcW w:type="dxa" w:w="396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Vê se a colheita é saudável ou irregular e quantas de cada dez amostras do alimento tinham problema</w:t>
            </w:r>
          </w:p>
        </w:tc>
        <w:tc>
          <w:tcPr>
            <w:tcW w:type="dxa" w:w="2692"/>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Desequilíbrio e acomodação (Piaget); dados do PARA</w:t>
            </w:r>
          </w:p>
        </w:tc>
      </w:tr>
      <w:tr>
        <w:trPr>
          <w:cantSplit/>
          <w:tblHeader w:val="false"/>
        </w:trPr>
        <w:tc>
          <w:tcPr>
            <w:tcW w:type="dxa" w:w="241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Vizinhos e amizade</w:t>
            </w:r>
          </w:p>
        </w:tc>
        <w:tc>
          <w:tcPr>
            <w:tcW w:type="dxa" w:w="396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Conversa com os vizinhos, dá presentes e aprende com eles</w:t>
            </w:r>
          </w:p>
        </w:tc>
        <w:tc>
          <w:tcPr>
            <w:tcW w:type="dxa" w:w="2692"/>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Diálogo e educação não bancária (Freire); interação (Paiva)</w:t>
            </w:r>
          </w:p>
        </w:tc>
      </w:tr>
      <w:tr>
        <w:trPr>
          <w:cantSplit/>
          <w:tblHeader w:val="false"/>
        </w:trPr>
        <w:tc>
          <w:tcPr>
            <w:tcW w:type="dxa" w:w="241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Feira Comunitária x AgroMax</w:t>
            </w:r>
          </w:p>
        </w:tc>
        <w:tc>
          <w:tcPr>
            <w:tcW w:type="dxa" w:w="396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Entrega pacotes de alimentos sem agrotóxico ou assina o contrato da empresa</w:t>
            </w:r>
          </w:p>
        </w:tc>
        <w:tc>
          <w:tcPr>
            <w:tcW w:type="dxa" w:w="2692"/>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Problematização e conscientização (Freire); rastreabilidade e produtores locais</w:t>
            </w:r>
          </w:p>
        </w:tc>
      </w:tr>
      <w:tr>
        <w:trPr>
          <w:cantSplit/>
          <w:tblHeader w:val="false"/>
        </w:trPr>
        <w:tc>
          <w:tcPr>
            <w:tcW w:type="dxa" w:w="241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Despensa, refeições e conservas</w:t>
            </w:r>
          </w:p>
        </w:tc>
        <w:tc>
          <w:tcPr>
            <w:tcW w:type="dxa" w:w="396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José come o que foi colhido; biscoito de pacote só mata a fome</w:t>
            </w:r>
          </w:p>
        </w:tc>
        <w:tc>
          <w:tcPr>
            <w:tcW w:type="dxa" w:w="2692"/>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Consumo consciente (Freire); ultraprocessados (Idec, 2026)</w:t>
            </w:r>
          </w:p>
        </w:tc>
      </w:tr>
      <w:tr>
        <w:trPr>
          <w:cantSplit/>
          <w:tblHeader w:val="false"/>
        </w:trPr>
        <w:tc>
          <w:tcPr>
            <w:tcW w:type="dxa" w:w="2410"/>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Banca, festivais, conquistas e notas</w:t>
            </w:r>
          </w:p>
        </w:tc>
        <w:tc>
          <w:tcPr>
            <w:tcW w:type="dxa" w:w="396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Vende, atende pedidos, participa de festivais e vê onde perdeu pontos</w:t>
            </w:r>
          </w:p>
        </w:tc>
        <w:tc>
          <w:tcPr>
            <w:tcW w:type="dxa" w:w="2692"/>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Motivação e engajamento do lúdico (Paiva)</w:t>
            </w:r>
          </w:p>
        </w:tc>
      </w:tr>
      <w:tr>
        <w:trPr>
          <w:cantSplit/>
          <w:tblHeader w:val="false"/>
        </w:trPr>
        <w:tc>
          <w:tcPr>
            <w:tcW w:type="dxa" w:w="2410"/>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40"/>
              <w:jc w:val="left"/>
            </w:pPr>
            <w:r>
              <w:rPr>
                <w:sz w:val="20"/>
                <w:szCs w:val="20"/>
              </w:rPr>
              <w:t xml:space="preserve">Compromisso final</w:t>
            </w:r>
          </w:p>
        </w:tc>
        <w:tc>
          <w:tcPr>
            <w:tcW w:type="dxa" w:w="3969"/>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40"/>
              <w:jc w:val="center"/>
            </w:pPr>
            <w:r>
              <w:rPr>
                <w:sz w:val="20"/>
                <w:szCs w:val="20"/>
              </w:rPr>
              <w:t xml:space="preserve">Escolhe atitudes para a vida real e gera um cartão</w:t>
            </w:r>
          </w:p>
        </w:tc>
        <w:tc>
          <w:tcPr>
            <w:tcW w:type="dxa" w:w="2692"/>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40"/>
              <w:jc w:val="center"/>
            </w:pPr>
            <w:r>
              <w:rPr>
                <w:sz w:val="20"/>
                <w:szCs w:val="20"/>
              </w:rPr>
              <w:t xml:space="preserve">Práxis (Freire)</w:t>
            </w:r>
          </w:p>
        </w:tc>
      </w:tr>
    </w:tbl>
    <w:p>
      <w:pPr>
        <w:spacing w:after="240" w:before="60" w:line="240"/>
        <w:jc w:val="left"/>
      </w:pPr>
      <w:r>
        <w:rPr>
          <w:sz w:val="20"/>
          <w:szCs w:val="20"/>
        </w:rPr>
        <w:t xml:space="preserve">Fonte: elaborado pela autora (2026).</w:t>
      </w:r>
    </w:p>
    <w:p>
      <w:pPr>
        <w:pStyle w:val="Heading2"/>
      </w:pPr>
      <w:r>
        <w:t xml:space="preserve">6.3 Regras do agrotóxico e alternativas</w:t>
      </w:r>
    </w:p>
    <w:p>
      <w:pPr>
        <w:spacing w:after="0" w:line="360" w:lineRule="auto"/>
        <w:ind w:firstLine="709"/>
        <w:jc w:val="both"/>
      </w:pPr>
      <w:r>
        <w:t xml:space="preserve">As pragas (pulgão, lagarta, mosca-branca, lesma e fungo) aparecem sobre as plantas com uma etiqueta vermelha que mostra o nome do bicho e quantas horas faltam para a planta morrer, e um cartão explica como reconhecê-la e tratá-la. As pragas surgem de manhã; se não for tratada, a praga danifica a planta no dia seguinte e a destrói em três dias, o que dá tempo de ir à vila comprar o tratamento. Na Cooperativa da vila, o jogador encontra sementes e alternativas sem veneno: joaninhas (controle biológico), calda de neem e flores companheiras, além da catação manual e da poda, que são gratuitas. Galinhas, que podem ser criadas na fazenda, comem insetos e reduzem as pragas. Os agrotóxicos, todos fictícios, ficam em outra loja, a AgroMax, cada um com as pragas que combate e as culturas para as quais é registrado. O Quadro 2 resume as regras aplicadas.</w:t>
      </w:r>
    </w:p>
    <w:p>
      <w:pPr>
        <w:keepNext/>
        <w:spacing w:after="60" w:before="240" w:line="240"/>
        <w:jc w:val="center"/>
      </w:pPr>
      <w:r>
        <w:rPr>
          <w:sz w:val="20"/>
          <w:szCs w:val="20"/>
        </w:rPr>
        <w:t xml:space="preserve">Quadro 2 – Regras do agrotóxico no jogo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02"/>
        <w:gridCol w:w="5669"/>
      </w:tblGrid>
      <w:tr>
        <w:trPr>
          <w:cantSplit/>
          <w:tblHeader/>
        </w:trPr>
        <w:tc>
          <w:tcPr>
            <w:tcW w:type="dxa" w:w="3402"/>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line="240"/>
              <w:jc w:val="left"/>
            </w:pPr>
            <w:r>
              <w:rPr>
                <w:b/>
                <w:bCs/>
                <w:sz w:val="20"/>
                <w:szCs w:val="20"/>
              </w:rPr>
              <w:t xml:space="preserve">Regra</w:t>
            </w:r>
          </w:p>
        </w:tc>
        <w:tc>
          <w:tcPr>
            <w:tcW w:type="dxa" w:w="5669"/>
            <w:tcBorders>
              <w:top w:val="single" w:color="000000" w:sz="4"/>
              <w:left w:val="none" w:color="FFFFFF" w:sz="0"/>
              <w:bottom w:val="single" w:color="000000" w:sz="4"/>
              <w:right w:val="none" w:color="FFFFFF" w:sz="0"/>
            </w:tcBorders>
            <w:tcMar>
              <w:top w:type="dxa" w:w="40"/>
              <w:left w:type="dxa" w:w="90"/>
              <w:bottom w:type="dxa" w:w="40"/>
              <w:right w:type="dxa" w:w="90"/>
            </w:tcMar>
          </w:tcPr>
          <w:p>
            <w:pPr>
              <w:spacing w:line="240"/>
              <w:jc w:val="center"/>
            </w:pPr>
            <w:r>
              <w:rPr>
                <w:b/>
                <w:bCs/>
                <w:sz w:val="20"/>
                <w:szCs w:val="20"/>
              </w:rPr>
              <w:t xml:space="preserve">Consequência no jogo</w:t>
            </w:r>
          </w:p>
        </w:tc>
      </w:tr>
      <w:tr>
        <w:trPr>
          <w:cantSplit/>
          <w:tblHeader w:val="false"/>
        </w:trPr>
        <w:tc>
          <w:tcPr>
            <w:tcW w:type="dxa" w:w="3402"/>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Produto certo para a praga</w:t>
            </w:r>
          </w:p>
        </w:tc>
        <w:tc>
          <w:tcPr>
            <w:tcW w:type="dxa" w:w="566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Produto errado não elimina a praga, deixa resíduo na planta e tira 10 pontos</w:t>
            </w:r>
          </w:p>
        </w:tc>
      </w:tr>
      <w:tr>
        <w:trPr>
          <w:cantSplit/>
          <w:tblHeader w:val="false"/>
        </w:trPr>
        <w:tc>
          <w:tcPr>
            <w:tcW w:type="dxa" w:w="3402"/>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Registrado para a planta</w:t>
            </w:r>
          </w:p>
        </w:tc>
        <w:tc>
          <w:tcPr>
            <w:tcW w:type="dxa" w:w="566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Produto não registrado torna a colheita irregular no laboratório</w:t>
            </w:r>
          </w:p>
        </w:tc>
      </w:tr>
      <w:tr>
        <w:trPr>
          <w:cantSplit/>
          <w:tblHeader w:val="false"/>
        </w:trPr>
        <w:tc>
          <w:tcPr>
            <w:tcW w:type="dxa" w:w="3402"/>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Uso de EPI</w:t>
            </w:r>
          </w:p>
        </w:tc>
        <w:tc>
          <w:tcPr>
            <w:tcW w:type="dxa" w:w="566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Aplicar sem EPI intoxica o José (perde saúde) e mostra o Disque-Intoxicação</w:t>
            </w:r>
          </w:p>
        </w:tc>
      </w:tr>
      <w:tr>
        <w:trPr>
          <w:cantSplit/>
          <w:tblHeader w:val="false"/>
        </w:trPr>
        <w:tc>
          <w:tcPr>
            <w:tcW w:type="dxa" w:w="3402"/>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Respeitar a carência</w:t>
            </w:r>
          </w:p>
        </w:tc>
        <w:tc>
          <w:tcPr>
            <w:tcW w:type="dxa" w:w="566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Colher antes do prazo torna a colheita irregular</w:t>
            </w:r>
          </w:p>
        </w:tc>
      </w:tr>
      <w:tr>
        <w:trPr>
          <w:cantSplit/>
          <w:tblHeader w:val="false"/>
        </w:trPr>
        <w:tc>
          <w:tcPr>
            <w:tcW w:type="dxa" w:w="3402"/>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left"/>
            </w:pPr>
            <w:r>
              <w:rPr>
                <w:sz w:val="20"/>
                <w:szCs w:val="20"/>
              </w:rPr>
              <w:t xml:space="preserve">Devolver a embalagem</w:t>
            </w:r>
          </w:p>
        </w:tc>
        <w:tc>
          <w:tcPr>
            <w:tcW w:type="dxa" w:w="5669"/>
            <w:tcBorders>
              <w:top w:val="none" w:color="FFFFFF" w:sz="0"/>
              <w:left w:val="none" w:color="FFFFFF" w:sz="0"/>
              <w:bottom w:val="none" w:color="FFFFFF" w:sz="0"/>
              <w:right w:val="none" w:color="FFFFFF" w:sz="0"/>
            </w:tcBorders>
            <w:tcMar>
              <w:top w:type="dxa" w:w="40"/>
              <w:left w:type="dxa" w:w="90"/>
              <w:bottom w:type="dxa" w:w="40"/>
              <w:right w:type="dxa" w:w="90"/>
            </w:tcMar>
          </w:tcPr>
          <w:p>
            <w:pPr>
              <w:spacing w:line="240"/>
              <w:jc w:val="center"/>
            </w:pPr>
            <w:r>
              <w:rPr>
                <w:sz w:val="20"/>
                <w:szCs w:val="20"/>
              </w:rPr>
              <w:t xml:space="preserve">Devolver no ponto de recebimento dá pontos; jogar no lixo comum tira</w:t>
            </w:r>
          </w:p>
        </w:tc>
      </w:tr>
      <w:tr>
        <w:trPr>
          <w:cantSplit/>
          <w:tblHeader w:val="false"/>
        </w:trPr>
        <w:tc>
          <w:tcPr>
            <w:tcW w:type="dxa" w:w="3402"/>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40"/>
              <w:jc w:val="left"/>
            </w:pPr>
            <w:r>
              <w:rPr>
                <w:sz w:val="20"/>
                <w:szCs w:val="20"/>
              </w:rPr>
              <w:t xml:space="preserve">Aplicar só quando preciso</w:t>
            </w:r>
          </w:p>
        </w:tc>
        <w:tc>
          <w:tcPr>
            <w:tcW w:type="dxa" w:w="5669"/>
            <w:tcBorders>
              <w:top w:val="none" w:color="FFFFFF" w:sz="0"/>
              <w:left w:val="none" w:color="FFFFFF" w:sz="0"/>
              <w:bottom w:val="single" w:color="000000" w:sz="4"/>
              <w:right w:val="none" w:color="FFFFFF" w:sz="0"/>
            </w:tcBorders>
            <w:tcMar>
              <w:top w:type="dxa" w:w="40"/>
              <w:left w:type="dxa" w:w="90"/>
              <w:bottom w:type="dxa" w:w="40"/>
              <w:right w:type="dxa" w:w="90"/>
            </w:tcMar>
          </w:tcPr>
          <w:p>
            <w:pPr>
              <w:spacing w:line="240"/>
              <w:jc w:val="center"/>
            </w:pPr>
            <w:r>
              <w:rPr>
                <w:sz w:val="20"/>
                <w:szCs w:val="20"/>
              </w:rPr>
              <w:t xml:space="preserve">Aplicar sem praga é desperdício e tira pontos</w:t>
            </w:r>
          </w:p>
        </w:tc>
      </w:tr>
    </w:tbl>
    <w:p>
      <w:pPr>
        <w:spacing w:after="240" w:before="60" w:line="240"/>
        <w:jc w:val="left"/>
      </w:pPr>
      <w:r>
        <w:rPr>
          <w:sz w:val="20"/>
          <w:szCs w:val="20"/>
        </w:rPr>
        <w:t xml:space="preserve">Fonte: elaborado pela autora com base em Brasil (1989; 2000) e Anvisa (2025).</w:t>
      </w:r>
    </w:p>
    <w:p>
      <w:pPr>
        <w:pStyle w:val="Heading2"/>
      </w:pPr>
      <w:r>
        <w:t xml:space="preserve">6.4 Tanque, Raio-X e guia de lavagem</w:t>
      </w:r>
    </w:p>
    <w:p>
      <w:pPr>
        <w:spacing w:after="0" w:line="360" w:lineRule="auto"/>
        <w:ind w:firstLine="709"/>
        <w:jc w:val="both"/>
      </w:pPr>
      <w:r>
        <w:t xml:space="preserve">A colheita vai para a cesta e é lavada no tanque do quintal, onde o jogador escolhe como higienizar cada alimento. As opções seguem a seção 4.6: o jeito certo (por exemplo, separar folha por folha, lavar em água corrente e deixar de molho em bicarbonato) vale mais pontos; passar apenas uma água ajuda pouco; o vinagre tem efeito limitado; a água sanitária serve para micróbios, e não para agrotóxicos; e o detergente nunca deve ser usado. Para tornar os percentuais do PARA mais compreensíveis, o jogo os apresenta como frequência em dez amostras, acompanhada de uma ilustração com dez círculos, como em “de cada 10 amostras de tomate que a Anvisa testou, 4 estavam irregulares”. Uma explicação curta informa o que é a Anvisa, o que é o PARA e o que significa uma amostra irregular.</w:t>
      </w:r>
    </w:p>
    <w:p>
      <w:pPr>
        <w:spacing w:after="0" w:line="360" w:lineRule="auto"/>
        <w:ind w:firstLine="709"/>
        <w:jc w:val="both"/>
      </w:pPr>
      <w:r>
        <w:t xml:space="preserve">Em seguida, o Raio-X do laboratório indica se cada alimento está saudável ou irregular e o motivo, comparando a colheita do jogador com os resultados do mercado. O jogo também traz um Guia, sempre acessível, com o ranking de vinte alimentos por percentual de amostras irregulares (PARA/Anvisa e MAPA), o passo a passo da lavagem e dicas como a recomendação da OMS de consumir ao menos 400 g de frutas e hortaliças por dia.</w:t>
      </w:r>
    </w:p>
    <w:p>
      <w:pPr>
        <w:pStyle w:val="Heading2"/>
      </w:pPr>
      <w:r>
        <w:t xml:space="preserve">6.5 A vila, os vizinhos e a Feira Comunitária</w:t>
      </w:r>
    </w:p>
    <w:p>
      <w:pPr>
        <w:spacing w:after="0" w:line="360" w:lineRule="auto"/>
        <w:ind w:firstLine="709"/>
        <w:jc w:val="both"/>
      </w:pPr>
      <w:r>
        <w:t xml:space="preserve">Na vila moram cinco vizinhos, com quem o jogador desenvolve amizade, representada por corações. Conversar todos os dias e dar presentes da despensa aumenta a amizade, e cada vizinho entrega um presente ao chegar a três corações. As conversas são o principal meio de transmissão de conteúdo do jogo, o que dialoga com a crítica de Freire (1987) à educação bancária: em vez de uma aula, o jogador ouve experiências de pessoas da comunidade. A Dona Cida, vizinha antiga, ensina a lavar os alimentos; o Seu Kenji, produtor orgânico, fala de joaninhas, flores companheiras, galinhas, composteira e alimentos da época; a Dra. Lúcia, engenheira agrônoma, explica a receita agronômica, o rótulo, a carência, o EPI e a devolução de embalagens; e o Seu Jorge, feirante, fala sobre a feira e os alimentos campeões de irregularidades. O quinto vizinho, Marcos, é o vendedor da AgroMax: suas falas reproduzem argumentos de propaganda, como “praga nunca mais”, e o jogo responde a cada uma com um quadro “Na verdade…”, que apresenta a regra ou o dado correto e estimula a leitura crítica da publicidade.</w:t>
      </w:r>
    </w:p>
    <w:p>
      <w:pPr>
        <w:spacing w:after="0" w:line="360" w:lineRule="auto"/>
        <w:ind w:firstLine="709"/>
        <w:jc w:val="both"/>
      </w:pPr>
      <w:r>
        <w:t xml:space="preserve">O galpão da Feira Comunitária está em ruínas. Para reconstruí-lo, o jogador deve entregar seis pacotes de alimentos lavados e sem agrotóxico, como o Pacote das Folhas, o das Raízes e o das Conservas. A cada pacote o prédio é restaurado, e, com todos, a feira reabre e as vendas de sábado passam a valer o dobro. Como alternativa, a AgroMax oferece um contrato: paga ao jogador e compra toda a sua produção, mas transforma o galpão em depósito e pulveriza agrotóxico na horta toda segunda-feira. A decisão muda o final do jogo: no final da Feira Comunitária, a vila volta a conhecer quem produz a comida; no final da AgroMax, o José ganha dinheiro, mas o jogo mostra as consequências do uso intensivo de agrotóxicos para o solo, a água, os trabalhadores e o consumidor. Essa escolha materializa a problematização freireana e a discussão sobre rastreabilidade e acesso a produtores locais (seções 4.7 e 5.2).</w:t>
      </w:r>
    </w:p>
    <w:p>
      <w:pPr>
        <w:pStyle w:val="Heading2"/>
      </w:pPr>
      <w:r>
        <w:t xml:space="preserve">6.6 Estações, despensa e economia do jogo</w:t>
      </w:r>
    </w:p>
    <w:p>
      <w:pPr>
        <w:spacing w:after="0" w:line="360" w:lineRule="auto"/>
        <w:ind w:firstLine="709"/>
        <w:jc w:val="both"/>
      </w:pPr>
      <w:r>
        <w:t xml:space="preserve">O ano tem primavera, verão, outono e inverno. Cada alimento tem suas estações, a Cooperativa vende apenas sementes da época e, na troca de estação, as plantas que não são da época murcham. Com isso, o jogo traduz em mecânica a recomendação de preferir alimentos de época (ANVISA, 2025). Cada estação também altera o clima e a quantidade de pragas, e traz alimentos próprios, como a uva e o milho no verão e a cebola no outono e no inverno.</w:t>
      </w:r>
    </w:p>
    <w:p>
      <w:pPr>
        <w:spacing w:after="0" w:line="360" w:lineRule="auto"/>
        <w:ind w:firstLine="709"/>
        <w:jc w:val="both"/>
      </w:pPr>
      <w:r>
        <w:t xml:space="preserve">O José almoça às 12h e janta às 19h com o que está na despensa: alimentos da horta, ovos e conservas recuperam a saúde dele, o biscoito de pacote apenas mata a fome (com informação sobre agrotóxicos em ultraprocessados) e a falta de comida faz com que ele perca saúde. Um pote de conserva transforma alimentos em molho de tomate, picles ou geleia, que valem mais, mas o jogo deixa claro que a conserva não remove o agrotóxico. Na banca da fazenda, o alimento sem agrotóxico vale 50% a mais, os vizinhos fazem pedidos e a reputação da banca, de uma a cinco estrelas, altera os preços. Aos sábados acontece um festival por estação (Festival das Flores, Festa do Milho Verde, Akimatsuri e Festa Junina), com um concurso que só aceita alimentos sem agrotóxico. O dinheiro pode ser investido em melhorias, como regador grande, mais canteiros, cisterna, composteira, galinheiro e pote de conserva.</w:t>
      </w:r>
    </w:p>
    <w:p>
      <w:pPr>
        <w:pStyle w:val="Heading2"/>
      </w:pPr>
      <w:r>
        <w:t xml:space="preserve">6.7 Motivação para jogar e aprender de novo</w:t>
      </w:r>
    </w:p>
    <w:p>
      <w:pPr>
        <w:spacing w:after="0" w:line="360" w:lineRule="auto"/>
        <w:ind w:firstLine="709"/>
        <w:jc w:val="both"/>
      </w:pPr>
      <w:r>
        <w:t xml:space="preserve">Para estimular novas partidas, a tela final apresenta, além da pontuação e de até três estrelas, notas separadas em quatro áreas (Saúde do José, Horta limpa, Conhecimento e Vila e banca), uma dica para a área mais fraca, a lista dos erros que mais custaram pontos (como plantas mortas por sede, colheitas na carência ou lavagens erradas), cada um com a forma de corrigi-lo, e quantos pontos faltam para a próxima estrela. O jogo registra as cinco melhores partidas e oferece dezoito conquistas. Os dois finais possíveis também incentivam jogar de novo. Do ponto de vista de Piaget, cada nova partida é uma oportunidade de aplicar o que foi reorganizado na partida anterior.</w:t>
      </w:r>
    </w:p>
    <w:p>
      <w:pPr>
        <w:pStyle w:val="Heading2"/>
      </w:pPr>
      <w:r>
        <w:t xml:space="preserve">6.8 Aspectos técnicos</w:t>
      </w:r>
    </w:p>
    <w:p>
      <w:pPr>
        <w:spacing w:after="0" w:line="360" w:lineRule="auto"/>
        <w:ind w:firstLine="709"/>
        <w:jc w:val="both"/>
      </w:pPr>
      <w:r>
        <w:t xml:space="preserve">O jogo foi desenvolvido em HTML, CSS e JavaScript puros, com o cenário isométrico e os personagens desenhados em Canvas 2D, sem bibliotecas externas e sem imagens de terceiros. Isso o torna leve e permite publicá-lo gratuitamente no GitHub Pages, com acesso por um link no navegador do computador ou do celular, sem instalação. No computador, as teclas numéricas selecionam os itens e há atalhos para os menus; no celular, o jogo pede para girar a tela, usa o modo paisagem e permite arrastar o mapa e aproximar a imagem. Todo o conteúdo (alimentos e estações, percentuais, pragas, produtos, falas dos vizinhos, pacotes e textos) fica em um único arquivo de dados, o que facilita atualizações quando novos resultados do PARA forem publicados.</w:t>
      </w:r>
    </w:p>
    <w:p>
      <w:pPr>
        <w:pStyle w:val="Heading2"/>
      </w:pPr>
      <w:r>
        <w:t xml:space="preserve">6.9 Avaliação da conscientização</w:t>
      </w:r>
    </w:p>
    <w:p>
      <w:pPr>
        <w:spacing w:after="0" w:line="360" w:lineRule="auto"/>
        <w:ind w:firstLine="709"/>
        <w:jc w:val="both"/>
      </w:pPr>
      <w:r>
        <w:t xml:space="preserve">Propõe-se aplicar uma ou duas perguntas antes e depois da partida, como “Você acha que a aparência mostra se o alimento tem agrotóxico?” e “Você pretende verificar a origem dos alimentos que compra?”. A comparação entre as respostas, junto com os compromissos escolhidos ao final do jogo e com as notas por área, permitirá avaliar a mudança de percepção dos participantes da comunidade.</w:t>
      </w:r>
    </w:p>
    <w:p>
      <w:pPr>
        <w:pStyle w:val="Heading2"/>
      </w:pPr>
      <w:r>
        <w:t xml:space="preserve">6.10 Cuidados e limitações</w:t>
      </w:r>
    </w:p>
    <w:p>
      <w:pPr>
        <w:pStyle w:val="ListParagraph"/>
        <w:numPr>
          <w:ilvl w:val="0"/>
          <w:numId w:val="3"/>
        </w:numPr>
        <w:spacing w:after="0" w:line="360" w:lineRule="auto"/>
        <w:jc w:val="both"/>
      </w:pPr>
      <w:r>
        <w:t xml:space="preserve">O jogo deixa claro que amostra insatisfatória não significa, necessariamente, risco imediato à saúde, evitando o alarmismo e o desestímulo ao consumo de frutas e hortaliças;</w:t>
      </w:r>
    </w:p>
    <w:p>
      <w:pPr>
        <w:pStyle w:val="ListParagraph"/>
        <w:numPr>
          <w:ilvl w:val="0"/>
          <w:numId w:val="3"/>
        </w:numPr>
        <w:spacing w:after="0" w:line="360" w:lineRule="auto"/>
        <w:jc w:val="both"/>
      </w:pPr>
      <w:r>
        <w:t xml:space="preserve">Os agrotóxicos do jogo, a empresa AgroMax e os vizinhos são fictícios; os tempos de crescimento, de carência, as estações de cada cultura e a eficácia das alternativas são simplificações didáticas;</w:t>
      </w:r>
    </w:p>
    <w:p>
      <w:pPr>
        <w:pStyle w:val="ListParagraph"/>
        <w:numPr>
          <w:ilvl w:val="0"/>
          <w:numId w:val="3"/>
        </w:numPr>
        <w:spacing w:after="0" w:line="360" w:lineRule="auto"/>
        <w:jc w:val="both"/>
      </w:pPr>
      <w:r>
        <w:t xml:space="preserve">Os percentuais por alimento do ciclo 2024 foram obtidos em veículo de imprensa e devem ser conferidos no relatório completo da Anvisa;</w:t>
      </w:r>
    </w:p>
    <w:p>
      <w:pPr>
        <w:pStyle w:val="ListParagraph"/>
        <w:numPr>
          <w:ilvl w:val="0"/>
          <w:numId w:val="3"/>
        </w:numPr>
        <w:spacing w:after="0" w:line="360" w:lineRule="auto"/>
        <w:jc w:val="both"/>
      </w:pPr>
      <w:r>
        <w:t xml:space="preserve">O jogo apresenta a horta doméstica como cenário; na vida real, o uso de agrotóxicos exige receituário agronômico, e o mais indicado em hortas caseiras é adotar alternativas sem veneno;</w:t>
      </w:r>
    </w:p>
    <w:p>
      <w:pPr>
        <w:pStyle w:val="ListParagraph"/>
        <w:numPr>
          <w:ilvl w:val="0"/>
          <w:numId w:val="3"/>
        </w:numPr>
        <w:spacing w:after="0" w:line="360" w:lineRule="auto"/>
        <w:jc w:val="both"/>
      </w:pPr>
      <w:r>
        <w:t xml:space="preserve">Uma partida completa dura cerca de uma hora, com o progresso salvo automaticamente; em atividades com tempo reduzido, recomenda-se usar o tempo acelerado ou combinar a partida com uma conversa sobre os resultados.</w:t>
      </w:r>
    </w:p>
    <w:p>
      <w:pPr>
        <w:pStyle w:val="Heading1"/>
        <w:pageBreakBefore/>
      </w:pPr>
      <w:r>
        <w:t xml:space="preserve">7 CONSIDERAÇÕES FINAIS</w:t>
      </w:r>
    </w:p>
    <w:p>
      <w:pPr>
        <w:spacing w:after="0" w:line="360" w:lineRule="auto"/>
        <w:ind w:firstLine="709"/>
        <w:jc w:val="both"/>
      </w:pPr>
      <w:r>
        <w:t xml:space="preserve">A fundamentação reunida neste trabalho mostra que o desconhecimento sobre agrotóxicos nos alimentos está relacionado tanto à falta de informação acessível quanto às condições concretas de acesso a alternativas. O dado de que os agrotóxicos não alteram a aparência dos alimentos, confrontado com o fato de que a maioria dos consumidores de Mogi das Cruzes escolhe justamente pela aparência, constitui o principal ponto de problematização do jogo.</w:t>
      </w:r>
    </w:p>
    <w:p>
      <w:pPr>
        <w:spacing w:after="0" w:line="360" w:lineRule="auto"/>
        <w:ind w:firstLine="709"/>
        <w:jc w:val="both"/>
      </w:pPr>
      <w:r>
        <w:t xml:space="preserve">Ao articular a leitura de mundo e a conscientização propostas por Freire, o ciclo de assimilação e acomodação descrito por Piaget e o lúdico com intencionalidade pedagógica, a “Horta Limpa” pretende ir além da simples transmissão de dados: ao ajudar José Longuinho a cultivar e consumir os próprios alimentos durante um ano, o jogador vivencia as consequências das escolhas sobre agrotóxicos, aprende a lavar os alimentos, descobre a importância dos alimentos de época, conhece alternativas sem veneno ao conversar com os vizinhos e decide entre fortalecer a feira local ou depender de uma empresa de agrotóxicos. Como próximos passos, propõem-se a validação dos dados no relatório completo do PARA, testes com usuários e a aplicação do jogo e da avaliação na comunidade de Mogi das Cruzes.</w:t>
      </w:r>
    </w:p>
    <w:p>
      <w:pPr>
        <w:pStyle w:val="Heading1"/>
        <w:pageBreakBefore/>
        <w:jc w:val="center"/>
      </w:pPr>
      <w:r>
        <w:t xml:space="preserve">REFERÊNCIAS</w:t>
      </w:r>
    </w:p>
    <w:p>
      <w:pPr>
        <w:spacing w:after="240" w:line="240"/>
        <w:jc w:val="left"/>
      </w:pPr>
      <w:r>
        <w:t xml:space="preserve">ANVISA. Agência Nacional de Vigilância Sanitária. </w:t>
      </w:r>
      <w:r>
        <w:rPr>
          <w:b/>
          <w:bCs/>
        </w:rPr>
        <w:t xml:space="preserve">Programa de Análise de Resíduos de Agrotóxicos em Alimentos – PARA</w:t>
      </w:r>
      <w:r>
        <w:t xml:space="preserve">: resultados do ciclo 2023. Brasília, DF: Anvisa, 2024a. Apresentação.</w:t>
      </w:r>
    </w:p>
    <w:p>
      <w:pPr>
        <w:spacing w:after="240" w:line="240"/>
        <w:jc w:val="left"/>
      </w:pPr>
      <w:r>
        <w:t xml:space="preserve">ANVISA. Agência Nacional de Vigilância Sanitária. </w:t>
      </w:r>
      <w:r>
        <w:rPr>
          <w:b/>
          <w:bCs/>
        </w:rPr>
        <w:t xml:space="preserve">Programa de Análise de Resíduos de Agrotóxicos em Alimentos – PARA</w:t>
      </w:r>
      <w:r>
        <w:t xml:space="preserve">: relatório 2013 a 2023. Brasília, DF: Anvisa, 2024b. Disponível em: https://www.gov.br/anvisa/pt-br/assuntos/agrotoxicos/programa-de-analise-de-residuos-em-alimentos. Acesso em: 14 out. 2026.</w:t>
      </w:r>
    </w:p>
    <w:p>
      <w:pPr>
        <w:spacing w:after="240" w:line="240"/>
        <w:jc w:val="left"/>
      </w:pPr>
      <w:r>
        <w:t xml:space="preserve">ANVISA. Agência Nacional de Vigilância Sanitária. </w:t>
      </w:r>
      <w:r>
        <w:rPr>
          <w:b/>
          <w:bCs/>
        </w:rPr>
        <w:t xml:space="preserve">Programa de Análise de Resíduos de Agrotóxicos em Alimentos – PARA</w:t>
      </w:r>
      <w:r>
        <w:t xml:space="preserve">: apresentação dos resultados do ciclo 2024. Brasília, DF: Anvisa, 2025. Apresentação.</w:t>
      </w:r>
    </w:p>
    <w:p>
      <w:pPr>
        <w:spacing w:after="240" w:line="240"/>
        <w:jc w:val="left"/>
      </w:pPr>
      <w:r>
        <w:t xml:space="preserve">AGÊNCIA PÚBLICA. Laranja, pimentão e goiaba: alimentos campeões de agrotóxicos acima do limite. </w:t>
      </w:r>
      <w:r>
        <w:rPr>
          <w:b/>
          <w:bCs/>
        </w:rPr>
        <w:t xml:space="preserve">Agência Pública</w:t>
      </w:r>
      <w:r>
        <w:t xml:space="preserve">, São Paulo, out. 2020. Disponível em: https://apublica.org/2020/10/laranja-pimentao-e-goiaba-alimentos-campeoes-de-agrotoxicos-acima-do-limite/. Acesso em: 14 out. 2026.</w:t>
      </w:r>
    </w:p>
    <w:p>
      <w:pPr>
        <w:spacing w:after="240" w:line="240"/>
        <w:jc w:val="left"/>
      </w:pPr>
      <w:r>
        <w:t xml:space="preserve">BRASIL DE FATO. Pepino e laranja são os alimentos campeões de agrotóxicos em nova análise da Anvisa. </w:t>
      </w:r>
      <w:r>
        <w:rPr>
          <w:b/>
          <w:bCs/>
        </w:rPr>
        <w:t xml:space="preserve">Brasil de Fato</w:t>
      </w:r>
      <w:r>
        <w:t xml:space="preserve">, São Paulo, 18 dez. 2025. Disponível em: https://www.brasildefato.com.br/2025/12/18/pepino-e-laranja-sao-os-alimentos-campeoes-de-agrotoxicos-em-nova-analise-da-anvisa/. Acesso em: 14 out. 2026.</w:t>
      </w:r>
    </w:p>
    <w:p>
      <w:pPr>
        <w:spacing w:after="240" w:line="240"/>
        <w:jc w:val="left"/>
      </w:pPr>
      <w:r>
        <w:t xml:space="preserve">BRASIL. Lei nº 7.802, de 11 de julho de 1989. Dispõe sobre a pesquisa, a experimentação, a produção, a embalagem e rotulagem, o transporte, o armazenamento, a comercialização, a propaganda comercial, a utilização, a importação, a exportação, o destino final dos resíduos e embalagens, o registro, a classificação, o controle, a inspeção e a fiscalização de agrotóxicos, seus componentes e afins, e dá outras providências. </w:t>
      </w:r>
      <w:r>
        <w:rPr>
          <w:b/>
          <w:bCs/>
        </w:rPr>
        <w:t xml:space="preserve">Diário Oficial da União</w:t>
      </w:r>
      <w:r>
        <w:t xml:space="preserve">, Brasília, DF, 1989.</w:t>
      </w:r>
    </w:p>
    <w:p>
      <w:pPr>
        <w:spacing w:after="240" w:line="240"/>
        <w:jc w:val="left"/>
      </w:pPr>
      <w:r>
        <w:t xml:space="preserve">BRASIL. Lei nº 9.974, de 6 de junho de 2000. Altera a Lei nº 7.802, de 11 de julho de 1989. </w:t>
      </w:r>
      <w:r>
        <w:rPr>
          <w:b/>
          <w:bCs/>
        </w:rPr>
        <w:t xml:space="preserve">Diário Oficial da União</w:t>
      </w:r>
      <w:r>
        <w:t xml:space="preserve">, Brasília, DF, 2000.</w:t>
      </w:r>
    </w:p>
    <w:p>
      <w:pPr>
        <w:spacing w:after="240" w:line="240"/>
        <w:jc w:val="left"/>
      </w:pPr>
      <w:r>
        <w:t xml:space="preserve">BRASIL. Agência Nacional de Vigilância Sanitária; Ministério da Agricultura, Pecuária e Abastecimento. Instrução Normativa Conjunta nº 2, de 7 de fevereiro de 2018. Define os procedimentos para a aplicação da rastreabilidade ao longo da cadeia produtiva de produtos vegetais frescos. </w:t>
      </w:r>
      <w:r>
        <w:rPr>
          <w:b/>
          <w:bCs/>
        </w:rPr>
        <w:t xml:space="preserve">Diário Oficial da União</w:t>
      </w:r>
      <w:r>
        <w:t xml:space="preserve">, Brasília, DF, 2018.</w:t>
      </w:r>
    </w:p>
    <w:p>
      <w:pPr>
        <w:spacing w:after="240" w:line="240"/>
        <w:jc w:val="left"/>
      </w:pPr>
      <w:r>
        <w:t xml:space="preserve">BRASIL. Ministério da Agricultura e Pecuária. </w:t>
      </w:r>
      <w:r>
        <w:rPr>
          <w:b/>
          <w:bCs/>
        </w:rPr>
        <w:t xml:space="preserve">Cadastro Nacional de Produtores Orgânicos</w:t>
      </w:r>
      <w:r>
        <w:t xml:space="preserve">. Brasília, DF: MAPA, 2026. Consulta: Mogi das Cruzes (SP). Acesso em: 14 out. 2026.</w:t>
      </w:r>
    </w:p>
    <w:p>
      <w:pPr>
        <w:spacing w:after="240" w:line="240"/>
        <w:jc w:val="left"/>
      </w:pPr>
      <w:r>
        <w:t xml:space="preserve">BRASIL. Ministério da Saúde. </w:t>
      </w:r>
      <w:r>
        <w:rPr>
          <w:b/>
          <w:bCs/>
        </w:rPr>
        <w:t xml:space="preserve">Guia alimentar para a população brasileira</w:t>
      </w:r>
      <w:r>
        <w:t xml:space="preserve">. 2. ed. Brasília, DF: Ministério da Saúde, 2014.</w:t>
      </w:r>
    </w:p>
    <w:p>
      <w:pPr>
        <w:spacing w:after="240" w:line="240"/>
        <w:jc w:val="left"/>
      </w:pPr>
      <w:r>
        <w:t xml:space="preserve">CHEN, Jenova. Flow in games (and everything else). </w:t>
      </w:r>
      <w:r>
        <w:rPr>
          <w:b/>
          <w:bCs/>
        </w:rPr>
        <w:t xml:space="preserve">Communications of the ACM</w:t>
      </w:r>
      <w:r>
        <w:t xml:space="preserve">, New York, v. 50, n. 4, p. 31-34, abr. 2007.</w:t>
      </w:r>
    </w:p>
    <w:p>
      <w:pPr>
        <w:spacing w:after="240" w:line="240"/>
        <w:jc w:val="left"/>
      </w:pPr>
      <w:r>
        <w:t xml:space="preserve">CONCERNEDAPE. </w:t>
      </w:r>
      <w:r>
        <w:rPr>
          <w:b/>
          <w:bCs/>
        </w:rPr>
        <w:t xml:space="preserve">Stardew Valley</w:t>
      </w:r>
      <w:r>
        <w:t xml:space="preserve">. [S. l.]: ConcernedApe, 2016. Jogo eletrônico.</w:t>
      </w:r>
    </w:p>
    <w:p>
      <w:pPr>
        <w:spacing w:after="240" w:line="240"/>
        <w:jc w:val="left"/>
      </w:pPr>
      <w:r>
        <w:t xml:space="preserve">ECYCLE. Feijão contaminado: alimento tem agrotóxico proibido ou fora do limite em teste do governo. </w:t>
      </w:r>
      <w:r>
        <w:rPr>
          <w:b/>
          <w:bCs/>
        </w:rPr>
        <w:t xml:space="preserve">eCycle</w:t>
      </w:r>
      <w:r>
        <w:t xml:space="preserve">, [2022?]. Disponível em: https://www.ecycle.com.br/feijao-contaminado-alimento-tem-agrotoxico-proibido-ou-fora-do-limite-em-teste-do-governo/. Acesso em: 14 out. 2026.</w:t>
      </w:r>
    </w:p>
    <w:p>
      <w:pPr>
        <w:spacing w:after="240" w:line="240"/>
        <w:jc w:val="left"/>
      </w:pPr>
      <w:r>
        <w:t xml:space="preserve">FREIRE, Paulo. </w:t>
      </w:r>
      <w:r>
        <w:rPr>
          <w:b/>
          <w:bCs/>
        </w:rPr>
        <w:t xml:space="preserve">A importância do ato de ler</w:t>
      </w:r>
      <w:r>
        <w:t xml:space="preserve">: em três artigos que se completam. 23. ed. São Paulo: Autores Associados: Cortez, 1989.</w:t>
      </w:r>
    </w:p>
    <w:p>
      <w:pPr>
        <w:spacing w:after="240" w:line="240"/>
        <w:jc w:val="left"/>
      </w:pPr>
      <w:r>
        <w:t xml:space="preserve">FREIRE, Paulo. </w:t>
      </w:r>
      <w:r>
        <w:rPr>
          <w:b/>
          <w:bCs/>
        </w:rPr>
        <w:t xml:space="preserve">Pedagogia do oprimido</w:t>
      </w:r>
      <w:r>
        <w:t xml:space="preserve">. 17. ed. Rio de Janeiro: Paz e Terra, 1987.</w:t>
      </w:r>
    </w:p>
    <w:p>
      <w:pPr>
        <w:spacing w:after="240" w:line="240"/>
        <w:jc w:val="left"/>
      </w:pPr>
      <w:r>
        <w:t xml:space="preserve">IBGE. Instituto Brasileiro de Geografia e Estatística. </w:t>
      </w:r>
      <w:r>
        <w:rPr>
          <w:b/>
          <w:bCs/>
        </w:rPr>
        <w:t xml:space="preserve">Produção agrícola municipal 2025</w:t>
      </w:r>
      <w:r>
        <w:t xml:space="preserve">: lavoura temporária – Mogi das Cruzes. Rio de Janeiro: IBGE, 2026.</w:t>
      </w:r>
    </w:p>
    <w:p>
      <w:pPr>
        <w:spacing w:after="240" w:line="240"/>
        <w:jc w:val="left"/>
      </w:pPr>
      <w:r>
        <w:t xml:space="preserve">IDEC. Instituto de Defesa de Consumidores. </w:t>
      </w:r>
      <w:r>
        <w:rPr>
          <w:b/>
          <w:bCs/>
        </w:rPr>
        <w:t xml:space="preserve">Tem veneno nesse pacote</w:t>
      </w:r>
      <w:r>
        <w:t xml:space="preserve">: volume 4 – produtos para primeira infância. São Paulo: Idec, 2026. Disponível em: https://idec.org.br/veneno-no-pacote. Acesso em: 14 out. 2026.</w:t>
      </w:r>
    </w:p>
    <w:p>
      <w:pPr>
        <w:spacing w:after="240" w:line="240"/>
        <w:jc w:val="left"/>
      </w:pPr>
      <w:r>
        <w:t xml:space="preserve">MARINS, Lucas Gabriel. Como lavar frutas e verduras do jeito certo para remover os agrotóxicos? </w:t>
      </w:r>
      <w:r>
        <w:rPr>
          <w:b/>
          <w:bCs/>
        </w:rPr>
        <w:t xml:space="preserve">Portal Drauzio Varella</w:t>
      </w:r>
      <w:r>
        <w:t xml:space="preserve">, São Paulo, 16 jul. 2025. Disponível em: https://drauziovarella.uol.com.br/alimentacao/como-lavar-frutas-e-verduras-do-jeito-certo-para-remover-os-agrotoxicos/. Acesso em: 14 out. 2026.</w:t>
      </w:r>
    </w:p>
    <w:p>
      <w:pPr>
        <w:spacing w:after="240" w:line="240"/>
        <w:jc w:val="left"/>
      </w:pPr>
      <w:r>
        <w:t xml:space="preserve">METRÓPOLES. Veja os 5 vegetais e frutas campeões em agrotóxicos no Brasil. </w:t>
      </w:r>
      <w:r>
        <w:rPr>
          <w:b/>
          <w:bCs/>
        </w:rPr>
        <w:t xml:space="preserve">Metrópoles</w:t>
      </w:r>
      <w:r>
        <w:t xml:space="preserve">, Brasília, DF, 13 dez. 2023. Disponível em: https://www.metropoles.com/saude/os-5-vegetais-e-frutas-com-mais-agrotoxicos-no-brasil. Acesso em: 14 out. 2026.</w:t>
      </w:r>
    </w:p>
    <w:p>
      <w:pPr>
        <w:spacing w:after="240" w:line="240"/>
        <w:jc w:val="left"/>
      </w:pPr>
      <w:r>
        <w:t xml:space="preserve">NAÇÕES UNIDAS. </w:t>
      </w:r>
      <w:r>
        <w:rPr>
          <w:b/>
          <w:bCs/>
        </w:rPr>
        <w:t xml:space="preserve">Transformando nosso mundo</w:t>
      </w:r>
      <w:r>
        <w:t xml:space="preserve">: a Agenda 2030 para o Desenvolvimento Sustentável. Nova York: ONU, 2015.</w:t>
      </w:r>
    </w:p>
    <w:p>
      <w:pPr>
        <w:spacing w:after="240" w:line="240"/>
        <w:jc w:val="left"/>
      </w:pPr>
      <w:r>
        <w:t xml:space="preserve">PAIVA, Marília Luana Pinheiro de. A importância do lúdico no ensino-aprendizagem. </w:t>
      </w:r>
      <w:r>
        <w:rPr>
          <w:b/>
          <w:bCs/>
        </w:rPr>
        <w:t xml:space="preserve">Revista Educação Pública</w:t>
      </w:r>
      <w:r>
        <w:t xml:space="preserve">, Rio de Janeiro, v. 25, n. 33, 3 set. 2025. Disponível em: https://educacaopublica.cecierj.edu.br/artigos/25/33/a-importancia-do-ludico-no-ensino-aprendizagem. Acesso em: 14 out. 2026.</w:t>
      </w:r>
    </w:p>
    <w:p>
      <w:pPr>
        <w:spacing w:after="240" w:line="240"/>
        <w:jc w:val="left"/>
      </w:pPr>
      <w:r>
        <w:t xml:space="preserve">PIAGET, Jean. </w:t>
      </w:r>
      <w:r>
        <w:rPr>
          <w:b/>
          <w:bCs/>
        </w:rPr>
        <w:t xml:space="preserve">A equilibração das estruturas cognitivas</w:t>
      </w:r>
      <w:r>
        <w:t xml:space="preserve">: problema central do desenvolvimento. Rio de Janeiro: Zahar, 1976.</w:t>
      </w:r>
    </w:p>
    <w:p>
      <w:pPr>
        <w:spacing w:after="240" w:line="240"/>
        <w:jc w:val="left"/>
      </w:pPr>
      <w:r>
        <w:t xml:space="preserve">PIAGET, Jean. </w:t>
      </w:r>
      <w:r>
        <w:rPr>
          <w:b/>
          <w:bCs/>
        </w:rPr>
        <w:t xml:space="preserve">O nascimento da inteligência na criança</w:t>
      </w:r>
      <w:r>
        <w:t xml:space="preserve">. 4. ed. Rio de Janeiro: LTC, 1987.</w:t>
      </w:r>
    </w:p>
    <w:p>
      <w:pPr>
        <w:spacing w:after="240" w:line="240"/>
        <w:jc w:val="left"/>
      </w:pPr>
      <w:r>
        <w:t xml:space="preserve">REVISTA FÓRUM. Lista de alimentos com resíduos de agrotóxicos inclui grão de consumo diário e substâncias proibidas. </w:t>
      </w:r>
      <w:r>
        <w:rPr>
          <w:b/>
          <w:bCs/>
        </w:rPr>
        <w:t xml:space="preserve">Revista Fórum</w:t>
      </w:r>
      <w:r>
        <w:t xml:space="preserve">, 2024. Disponível em: https://revistaforum.com.br/saude/lista-de-alimentos-com-residuos-de-agrotoxicos-inclui-grao-de-consumo-diario-e-substancias-proibidas/. Acesso em: 14 out. 2026.</w:t>
      </w:r>
    </w:p>
    <w:p>
      <w:pPr>
        <w:spacing w:after="240" w:line="240"/>
        <w:jc w:val="left"/>
      </w:pPr>
      <w:r>
        <w:t xml:space="preserve">SPONCHIATO, Diogo. Quais são os alimentos mais contaminados por agrotóxicos e os mais seguros no Brasil. </w:t>
      </w:r>
      <w:r>
        <w:rPr>
          <w:b/>
          <w:bCs/>
        </w:rPr>
        <w:t xml:space="preserve">Veja Saúde</w:t>
      </w:r>
      <w:r>
        <w:t xml:space="preserve">, São Paulo, 21 abr. 2026. Disponível em: https://saude.abril.com.br/alimentacao/quais-sao-os-alimentos-mais-contaminados-por-agrotoxicos-e-os-mais-seguros-no-brasil/. Acesso em: 14 out. 2026.</w:t>
      </w:r>
    </w:p>
    <w:p>
      <w:pPr>
        <w:spacing w:after="240" w:line="240"/>
        <w:jc w:val="left"/>
      </w:pPr>
      <w:r>
        <w:t xml:space="preserve">YANG, Tianxi </w:t>
      </w:r>
      <w:r>
        <w:rPr>
          <w:i/>
          <w:iCs/>
        </w:rPr>
        <w:t xml:space="preserve">et al.</w:t>
      </w:r>
      <w:r>
        <w:t xml:space="preserve"> Effectiveness of commercial and homemade washing agents in removing pesticide residues on and in apples. </w:t>
      </w:r>
      <w:r>
        <w:rPr>
          <w:b/>
          <w:bCs/>
        </w:rPr>
        <w:t xml:space="preserve">Journal of Agricultural and Food Chemistry</w:t>
      </w:r>
      <w:r>
        <w:t xml:space="preserve">, Washington, v. 65, n. 44, p. 9744-9752, 2017.</w:t>
      </w:r>
    </w:p>
    <w:sectPr>
      <w:headerReference w:type="default" r:id="rId7"/>
      <w:pgSz w:w="11906" w:h="16838" w:orient="portrait"/>
      <w:pgMar w:top="1701" w:right="1134" w:bottom="1134" w:left="1701" w:header="708" w:footer="708" w:gutter="0"/>
      <w:pgNumType w:start="4"/>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lowerLetter"/>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60" w:before="0" w:line="360"/>
      <w:outlineLvl w:val="0"/>
    </w:pPr>
    <w:rPr>
      <w:rFonts w:ascii="Arial" w:cs="Arial" w:eastAsia="Arial" w:hAnsi="Arial"/>
      <w:b/>
      <w:bCs/>
      <w:sz w:val="24"/>
      <w:szCs w:val="24"/>
    </w:rPr>
  </w:style>
  <w:style w:type="paragraph" w:styleId="Heading2">
    <w:name w:val="Heading 2"/>
    <w:basedOn w:val="Normal"/>
    <w:next w:val="Normal"/>
    <w:qFormat/>
    <w:pPr>
      <w:keepNext/>
      <w:spacing w:after="240" w:before="360" w:line="360"/>
      <w:outlineLvl w:val="1"/>
    </w:pPr>
    <w:rPr>
      <w:rFonts w:ascii="Arial" w:cs="Arial" w:eastAsia="Arial" w:hAnsi="Arial"/>
      <w:b/>
      <w:bCs/>
      <w:sz w:val="24"/>
      <w:szCs w:val="24"/>
    </w:rPr>
  </w:style>
  <w:style w:type="paragraph" w:styleId="Heading3">
    <w:name w:val="Heading 3"/>
    <w:basedOn w:val="Normal"/>
    <w:next w:val="Normal"/>
    <w:qFormat/>
    <w:pPr>
      <w:keepNext/>
      <w:spacing w:after="240" w:before="240"/>
      <w:outlineLvl w:val="2"/>
    </w:pPr>
    <w:rPr>
      <w:rFonts w:ascii="Arial" w:cs="Arial" w:eastAsia="Arial" w:hAnsi="Arial"/>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Horta Limpa – Fundamentação teórica</dc:title>
  <dc:creator>Ieda de Oliveira</dc:creator>
  <cp:lastModifiedBy>Un-named</cp:lastModifiedBy>
  <cp:revision>1</cp:revision>
  <dcterms:created xsi:type="dcterms:W3CDTF">2026-10-15T13:46:32.979Z</dcterms:created>
  <dcterms:modified xsi:type="dcterms:W3CDTF">2026-10-15T13:46:32.980Z</dcterms:modified>
</cp:coreProperties>
</file>

<file path=docProps/custom.xml><?xml version="1.0" encoding="utf-8"?>
<Properties xmlns="http://schemas.openxmlformats.org/officeDocument/2006/custom-properties" xmlns:vt="http://schemas.openxmlformats.org/officeDocument/2006/docPropsVTypes"/>
</file>