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季度阅读报告 Quarterly reading report</w:t>
      </w:r>
    </w:p>
    <w:p>
      <w:pPr>
        <w:pStyle w:val="Heading1"/>
      </w:pPr>
      <w:r>
        <w:t>一、概述 Overview</w:t>
      </w:r>
    </w:p>
    <w:p>
      <w:r>
        <w:t>本文件是测试用的合成文档。</w:t>
      </w:r>
      <w:r>
        <w:rPr>
          <w:b/>
        </w:rPr>
        <w:t>粗体 bold</w:t>
      </w:r>
      <w:r>
        <w:t>，</w:t>
      </w:r>
      <w:r>
        <w:rPr>
          <w:i/>
        </w:rPr>
        <w:t>斜体 italic</w:t>
      </w:r>
      <w:r>
        <w:t>，</w:t>
      </w:r>
      <w:r>
        <w:rPr>
          <w:u w:val="single"/>
        </w:rPr>
        <w:t>下划线 underline</w:t>
      </w:r>
      <w:r>
        <w:t>。</w:t>
      </w:r>
    </w:p>
    <w:p>
      <w:pPr>
        <w:pStyle w:val="Heading2"/>
      </w:pPr>
      <w:r>
        <w:t>二、清单 Lists</w:t>
      </w:r>
    </w:p>
    <w:p>
      <w:pPr>
        <w:pStyle w:val="ListBullet"/>
      </w:pPr>
      <w:r>
        <w:t>第一项 first</w:t>
      </w:r>
    </w:p>
    <w:p>
      <w:pPr>
        <w:pStyle w:val="ListBullet"/>
      </w:pPr>
      <w:r>
        <w:t>第二项 second</w:t>
      </w:r>
    </w:p>
    <w:p>
      <w:pPr>
        <w:pStyle w:val="ListBullet"/>
      </w:pPr>
      <w:r>
        <w:t>第三项 third</w:t>
      </w:r>
    </w:p>
    <w:p>
      <w:pPr>
        <w:pStyle w:val="ListNumber"/>
      </w:pPr>
      <w:r>
        <w:t>步骤一 step one</w:t>
      </w:r>
    </w:p>
    <w:p>
      <w:pPr>
        <w:pStyle w:val="ListNumber"/>
      </w:pPr>
      <w:r>
        <w:t>步骤二 step two</w:t>
      </w:r>
    </w:p>
    <w:p>
      <w:pPr>
        <w:pStyle w:val="Heading2"/>
      </w:pPr>
      <w:r>
        <w:t>三、表格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 Name</w:t>
            </w:r>
          </w:p>
        </w:tc>
        <w:tc>
          <w:tcPr>
            <w:tcW w:type="dxa" w:w="2880"/>
          </w:tcPr>
          <w:p>
            <w:r>
              <w:t>篇数 Count</w:t>
            </w:r>
          </w:p>
        </w:tc>
        <w:tc>
          <w:tcPr>
            <w:tcW w:type="dxa" w:w="2880"/>
          </w:tcPr>
          <w:p>
            <w:r>
              <w:t>备注 Note</w:t>
            </w:r>
          </w:p>
        </w:tc>
      </w:tr>
      <w:tr>
        <w:tc>
          <w:tcPr>
            <w:tcW w:type="dxa" w:w="2880"/>
          </w:tcPr>
          <w:p>
            <w:r>
              <w:t>甲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按时</w:t>
            </w:r>
          </w:p>
        </w:tc>
      </w:tr>
      <w:tr>
        <w:tc>
          <w:tcPr>
            <w:tcW w:type="dxa" w:w="2880"/>
          </w:tcPr>
          <w:p>
            <w:r>
              <w:t>乙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补交</w:t>
            </w:r>
          </w:p>
        </w:tc>
      </w:tr>
    </w:tbl>
    <w:p>
      <w:r>
        <w:t xml:space="preserve">参考链接 Reference: </w:t>
      </w:r>
      <w:hyperlink r:id="rId9">
        <w:r>
          <w:rPr>
            <w:u w:val="single"/>
          </w:rPr>
          <w:t xml:space="preserve">example.org/reading</w:t>
        </w:r>
      </w:hyperlink>
    </w:p>
    <w:p>
      <w:pPr>
        <w:pStyle w:val="Heading2"/>
      </w:pPr>
      <w:r>
        <w:t>四、图片 Image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五、公式 Equation</w:t>
      </w:r>
    </w:p>
    <w:p>
      <m:oMath>
        <m:r>
          <m:t>E=mc</m:t>
        </m:r>
        <m:sSup>
          <m:e>
            <m:r>
              <m:t> </m:t>
            </m:r>
          </m:e>
          <m:sup>
            <m:r>
              <m:t>2</m:t>
            </m:r>
          </m:sup>
        </m:sSup>
      </m:oMath>
    </w:p>
    <w:p>
      <w:r>
        <w:t>文末 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ding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