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325" w:rsidRDefault="00510325" w:rsidP="00510325">
      <w:pPr>
        <w:rPr>
          <w:b/>
          <w:sz w:val="32"/>
          <w:lang w:eastAsia="zh-TW"/>
        </w:rPr>
      </w:pPr>
      <w:r>
        <w:rPr>
          <w:rFonts w:ascii="Palatino Linotype" w:hAnsi="Palatino Linotype"/>
          <w:noProof/>
        </w:rPr>
        <w:drawing>
          <wp:inline distT="0" distB="0" distL="0" distR="0">
            <wp:extent cx="7732759" cy="1619250"/>
            <wp:effectExtent l="19050" t="0" r="1541" b="0"/>
            <wp:docPr id="1" name="Picture 1" descr="Melb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b_head"/>
                    <pic:cNvPicPr>
                      <a:picLocks noChangeAspect="1" noChangeArrowheads="1"/>
                    </pic:cNvPicPr>
                  </pic:nvPicPr>
                  <pic:blipFill>
                    <a:blip r:embed="rId8" cstate="print"/>
                    <a:srcRect/>
                    <a:stretch>
                      <a:fillRect/>
                    </a:stretch>
                  </pic:blipFill>
                  <pic:spPr bwMode="auto">
                    <a:xfrm>
                      <a:off x="0" y="0"/>
                      <a:ext cx="7732759" cy="1619250"/>
                    </a:xfrm>
                    <a:prstGeom prst="rect">
                      <a:avLst/>
                    </a:prstGeom>
                    <a:noFill/>
                    <a:ln w="9525">
                      <a:noFill/>
                      <a:miter lim="800000"/>
                      <a:headEnd/>
                      <a:tailEnd/>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0"/>
      </w:tblGrid>
      <w:tr w:rsidR="00510325" w:rsidTr="007C6E8B">
        <w:trPr>
          <w:jc w:val="center"/>
        </w:trPr>
        <w:tc>
          <w:tcPr>
            <w:tcW w:w="9730" w:type="dxa"/>
          </w:tcPr>
          <w:p w:rsidR="00882946" w:rsidRPr="00E826AD" w:rsidRDefault="00882946" w:rsidP="00882946">
            <w:pPr>
              <w:pStyle w:val="Title"/>
              <w:spacing w:after="240"/>
              <w:jc w:val="center"/>
              <w:rPr>
                <w:rFonts w:ascii="Palatino Linotype" w:hAnsi="Palatino Linotype"/>
                <w:b/>
                <w:color w:val="0070C0"/>
                <w:sz w:val="36"/>
                <w:szCs w:val="36"/>
              </w:rPr>
            </w:pPr>
            <w:r w:rsidRPr="00622DF0">
              <w:rPr>
                <w:rFonts w:ascii="Palatino Linotype" w:hAnsi="Palatino Linotype"/>
                <w:b/>
                <w:color w:val="0070C0"/>
                <w:sz w:val="32"/>
                <w:szCs w:val="36"/>
              </w:rPr>
              <w:t>IEEE International Conference on Multimedia &amp; Expo</w:t>
            </w:r>
            <w:r w:rsidRPr="00622DF0">
              <w:rPr>
                <w:rFonts w:ascii="Palatino Linotype" w:hAnsi="Palatino Linotype"/>
                <w:b/>
                <w:color w:val="0070C0"/>
                <w:sz w:val="32"/>
                <w:szCs w:val="36"/>
              </w:rPr>
              <w:br/>
              <w:t xml:space="preserve">Call for </w:t>
            </w:r>
            <w:r w:rsidR="00B87CFD">
              <w:rPr>
                <w:rFonts w:ascii="Palatino Linotype" w:hAnsi="Palatino Linotype"/>
                <w:b/>
                <w:color w:val="0070C0"/>
                <w:sz w:val="32"/>
                <w:szCs w:val="36"/>
              </w:rPr>
              <w:t>Tutorial</w:t>
            </w:r>
            <w:r w:rsidRPr="00622DF0">
              <w:rPr>
                <w:rFonts w:ascii="Palatino Linotype" w:hAnsi="Palatino Linotype"/>
                <w:b/>
                <w:color w:val="0070C0"/>
                <w:sz w:val="32"/>
                <w:szCs w:val="36"/>
              </w:rPr>
              <w:t xml:space="preserve"> Proposals</w:t>
            </w:r>
            <w:r>
              <w:rPr>
                <w:rFonts w:ascii="Palatino Linotype" w:hAnsi="Palatino Linotype"/>
                <w:b/>
                <w:color w:val="0070C0"/>
                <w:sz w:val="36"/>
                <w:szCs w:val="36"/>
              </w:rPr>
              <w:br/>
            </w:r>
            <w:r w:rsidRPr="00622DF0">
              <w:rPr>
                <w:rFonts w:ascii="Palatino Linotype" w:hAnsi="Palatino Linotype"/>
                <w:b/>
                <w:color w:val="0070C0"/>
                <w:sz w:val="10"/>
                <w:szCs w:val="36"/>
              </w:rPr>
              <w:br/>
            </w:r>
            <w:r w:rsidRPr="00622DF0">
              <w:rPr>
                <w:rFonts w:ascii="Palatino Linotype" w:hAnsi="Palatino Linotype"/>
                <w:b/>
                <w:color w:val="0070C0"/>
                <w:sz w:val="20"/>
                <w:szCs w:val="36"/>
              </w:rPr>
              <w:t>9</w:t>
            </w:r>
            <w:r w:rsidR="007E5F5C" w:rsidRPr="007E5F5C">
              <w:rPr>
                <w:rFonts w:ascii="Palatino Linotype" w:eastAsia="PMingLiU" w:hAnsi="Palatino Linotype" w:hint="eastAsia"/>
                <w:b/>
                <w:color w:val="0070C0"/>
                <w:sz w:val="20"/>
                <w:szCs w:val="36"/>
                <w:vertAlign w:val="superscript"/>
                <w:lang w:eastAsia="zh-TW"/>
              </w:rPr>
              <w:t>th</w:t>
            </w:r>
            <w:r w:rsidRPr="00622DF0">
              <w:rPr>
                <w:rFonts w:ascii="Palatino Linotype" w:hAnsi="Palatino Linotype"/>
                <w:b/>
                <w:color w:val="0070C0"/>
                <w:sz w:val="20"/>
                <w:szCs w:val="36"/>
              </w:rPr>
              <w:t>-13</w:t>
            </w:r>
            <w:r w:rsidR="007E5F5C" w:rsidRPr="007E5F5C">
              <w:rPr>
                <w:rFonts w:ascii="Palatino Linotype" w:eastAsia="PMingLiU" w:hAnsi="Palatino Linotype" w:hint="eastAsia"/>
                <w:b/>
                <w:color w:val="0070C0"/>
                <w:sz w:val="20"/>
                <w:szCs w:val="36"/>
                <w:vertAlign w:val="superscript"/>
                <w:lang w:eastAsia="zh-TW"/>
              </w:rPr>
              <w:t>th</w:t>
            </w:r>
            <w:r w:rsidR="007E5F5C">
              <w:rPr>
                <w:rFonts w:ascii="Palatino Linotype" w:eastAsia="PMingLiU" w:hAnsi="Palatino Linotype" w:hint="eastAsia"/>
                <w:b/>
                <w:color w:val="0070C0"/>
                <w:sz w:val="20"/>
                <w:szCs w:val="36"/>
                <w:lang w:eastAsia="zh-TW"/>
              </w:rPr>
              <w:t xml:space="preserve"> July</w:t>
            </w:r>
            <w:r w:rsidRPr="00622DF0">
              <w:rPr>
                <w:rFonts w:ascii="Palatino Linotype" w:hAnsi="Palatino Linotype"/>
                <w:b/>
                <w:color w:val="0070C0"/>
                <w:sz w:val="20"/>
                <w:szCs w:val="36"/>
              </w:rPr>
              <w:t>, 2012, Melbourne, Australia</w:t>
            </w:r>
          </w:p>
          <w:p w:rsidR="007C6E8B" w:rsidRPr="007E5F5C" w:rsidRDefault="007C6E8B" w:rsidP="00510325">
            <w:pPr>
              <w:jc w:val="both"/>
              <w:rPr>
                <w:color w:val="0070C0"/>
                <w:lang w:eastAsia="zh-TW"/>
              </w:rPr>
            </w:pPr>
          </w:p>
          <w:p w:rsidR="00882946" w:rsidRPr="007E5F5C" w:rsidRDefault="00510325" w:rsidP="00510325">
            <w:pPr>
              <w:jc w:val="both"/>
              <w:rPr>
                <w:rFonts w:eastAsia="PMingLiU"/>
                <w:lang w:eastAsia="zh-TW"/>
              </w:rPr>
            </w:pPr>
            <w:r w:rsidRPr="005E427C">
              <w:t xml:space="preserve">The </w:t>
            </w:r>
            <w:hyperlink r:id="rId9" w:history="1">
              <w:r w:rsidRPr="00510325">
                <w:rPr>
                  <w:rStyle w:val="Hyperlink"/>
                </w:rPr>
                <w:t>ICME 2012</w:t>
              </w:r>
            </w:hyperlink>
            <w:r w:rsidRPr="005E427C">
              <w:t xml:space="preserve"> Organizing Committee invites proposals for tutorials</w:t>
            </w:r>
            <w:r w:rsidR="007E5F5C">
              <w:rPr>
                <w:rFonts w:eastAsia="PMingLiU" w:hint="eastAsia"/>
                <w:lang w:eastAsia="zh-TW"/>
              </w:rPr>
              <w:t xml:space="preserve">.  ICME 2012 </w:t>
            </w:r>
            <w:r w:rsidR="007E5F5C" w:rsidRPr="005E427C">
              <w:t xml:space="preserve">will take place in </w:t>
            </w:r>
            <w:r w:rsidR="007E5F5C">
              <w:t>Me</w:t>
            </w:r>
            <w:r w:rsidR="007E5F5C">
              <w:t>l</w:t>
            </w:r>
            <w:r w:rsidR="007E5F5C">
              <w:t>bourne, Australia</w:t>
            </w:r>
            <w:r w:rsidR="007E5F5C">
              <w:rPr>
                <w:rFonts w:hint="eastAsia"/>
              </w:rPr>
              <w:t xml:space="preserve"> </w:t>
            </w:r>
            <w:r w:rsidR="007E5F5C">
              <w:rPr>
                <w:rFonts w:eastAsia="PMingLiU" w:hint="eastAsia"/>
                <w:lang w:eastAsia="zh-TW"/>
              </w:rPr>
              <w:t xml:space="preserve">from </w:t>
            </w:r>
            <w:r w:rsidR="007E5F5C">
              <w:rPr>
                <w:rFonts w:hint="eastAsia"/>
              </w:rPr>
              <w:t>9</w:t>
            </w:r>
            <w:r w:rsidR="007E5F5C" w:rsidRPr="00E872E8">
              <w:rPr>
                <w:rFonts w:hint="eastAsia"/>
                <w:vertAlign w:val="superscript"/>
              </w:rPr>
              <w:t>th</w:t>
            </w:r>
            <w:r w:rsidR="007E5F5C">
              <w:rPr>
                <w:rFonts w:hint="eastAsia"/>
              </w:rPr>
              <w:t xml:space="preserve"> </w:t>
            </w:r>
            <w:r w:rsidR="007E5F5C">
              <w:rPr>
                <w:rFonts w:eastAsia="PMingLiU" w:hint="eastAsia"/>
                <w:lang w:eastAsia="zh-TW"/>
              </w:rPr>
              <w:t>to</w:t>
            </w:r>
            <w:r w:rsidR="007E5F5C">
              <w:t xml:space="preserve"> 13</w:t>
            </w:r>
            <w:r w:rsidR="007E5F5C" w:rsidRPr="000677D6">
              <w:rPr>
                <w:vertAlign w:val="superscript"/>
              </w:rPr>
              <w:t>th</w:t>
            </w:r>
            <w:r w:rsidR="007E5F5C">
              <w:rPr>
                <w:rFonts w:eastAsia="PMingLiU" w:hint="eastAsia"/>
                <w:lang w:eastAsia="zh-TW"/>
              </w:rPr>
              <w:t xml:space="preserve"> July,</w:t>
            </w:r>
            <w:r w:rsidR="007E5F5C">
              <w:rPr>
                <w:rFonts w:hint="eastAsia"/>
              </w:rPr>
              <w:t xml:space="preserve"> </w:t>
            </w:r>
            <w:r w:rsidR="007E5F5C" w:rsidRPr="005E427C">
              <w:t>2012</w:t>
            </w:r>
            <w:r w:rsidR="007E5F5C">
              <w:rPr>
                <w:rFonts w:eastAsia="PMingLiU" w:hint="eastAsia"/>
                <w:lang w:eastAsia="zh-TW"/>
              </w:rPr>
              <w:t xml:space="preserve">. The tutorials will </w:t>
            </w:r>
            <w:r w:rsidRPr="005E427C">
              <w:t>be held on the first</w:t>
            </w:r>
            <w:r w:rsidR="007E5F5C">
              <w:rPr>
                <w:rFonts w:eastAsia="PMingLiU" w:hint="eastAsia"/>
                <w:lang w:eastAsia="zh-TW"/>
              </w:rPr>
              <w:t xml:space="preserve"> or last</w:t>
            </w:r>
            <w:r w:rsidRPr="005E427C">
              <w:t xml:space="preserve"> day of the ICME 2012</w:t>
            </w:r>
            <w:r w:rsidR="007E5F5C">
              <w:rPr>
                <w:rFonts w:eastAsia="PMingLiU" w:hint="eastAsia"/>
                <w:lang w:eastAsia="zh-TW"/>
              </w:rPr>
              <w:t>, either on 9</w:t>
            </w:r>
            <w:r w:rsidR="007E5F5C" w:rsidRPr="007E5F5C">
              <w:rPr>
                <w:rFonts w:eastAsia="PMingLiU" w:hint="eastAsia"/>
                <w:vertAlign w:val="superscript"/>
                <w:lang w:eastAsia="zh-TW"/>
              </w:rPr>
              <w:t>th</w:t>
            </w:r>
            <w:r w:rsidR="007E5F5C">
              <w:rPr>
                <w:rFonts w:eastAsia="PMingLiU" w:hint="eastAsia"/>
                <w:lang w:eastAsia="zh-TW"/>
              </w:rPr>
              <w:t xml:space="preserve"> or 13</w:t>
            </w:r>
            <w:r w:rsidR="007E5F5C" w:rsidRPr="007E5F5C">
              <w:rPr>
                <w:rFonts w:eastAsia="PMingLiU" w:hint="eastAsia"/>
                <w:vertAlign w:val="superscript"/>
                <w:lang w:eastAsia="zh-TW"/>
              </w:rPr>
              <w:t>th</w:t>
            </w:r>
            <w:r w:rsidR="007E5F5C">
              <w:rPr>
                <w:rFonts w:eastAsia="PMingLiU" w:hint="eastAsia"/>
                <w:lang w:eastAsia="zh-TW"/>
              </w:rPr>
              <w:t xml:space="preserve"> July.</w:t>
            </w:r>
          </w:p>
          <w:p w:rsidR="00882946" w:rsidRPr="007E5F5C" w:rsidRDefault="00882946" w:rsidP="00510325">
            <w:pPr>
              <w:jc w:val="both"/>
            </w:pPr>
          </w:p>
          <w:p w:rsidR="00510325" w:rsidRDefault="00510325" w:rsidP="00510325">
            <w:pPr>
              <w:jc w:val="both"/>
            </w:pPr>
            <w:r w:rsidRPr="005E427C">
              <w:t>We seek proposals for half-day and full-day tutorials. We are interested in tutorials on established or emerging research topics within the field itself, but we also welcome tutorials from related research fields or application areas. The ideal tutorial should attract a wide audience, be broad enough to provide a ge</w:t>
            </w:r>
            <w:r w:rsidRPr="005E427C">
              <w:t>n</w:t>
            </w:r>
            <w:r w:rsidRPr="005E427C">
              <w:t>tle introduction to the chosen research area, and should also cover the most important contributions in depth. Proposals that exclusively focus on the presenter’s own work or commercial presentations are not eligible.</w:t>
            </w:r>
          </w:p>
          <w:p w:rsidR="00882946" w:rsidRPr="005E427C" w:rsidRDefault="00882946" w:rsidP="00510325">
            <w:pPr>
              <w:jc w:val="both"/>
            </w:pPr>
          </w:p>
          <w:p w:rsidR="00510325" w:rsidRPr="005E427C" w:rsidRDefault="00510325" w:rsidP="00510325">
            <w:pPr>
              <w:jc w:val="both"/>
            </w:pPr>
            <w:r w:rsidRPr="005E427C">
              <w:t>Topics of interest include, but are not limited to:</w:t>
            </w:r>
          </w:p>
          <w:p w:rsidR="00510325" w:rsidRPr="005E427C" w:rsidRDefault="00510325" w:rsidP="00510325">
            <w:pPr>
              <w:numPr>
                <w:ilvl w:val="0"/>
                <w:numId w:val="1"/>
              </w:numPr>
              <w:jc w:val="both"/>
            </w:pPr>
            <w:r w:rsidRPr="005E427C">
              <w:t>Speech, audio, image, video, text processing</w:t>
            </w:r>
          </w:p>
          <w:p w:rsidR="00510325" w:rsidRPr="005E427C" w:rsidRDefault="00510325" w:rsidP="00510325">
            <w:pPr>
              <w:numPr>
                <w:ilvl w:val="0"/>
                <w:numId w:val="1"/>
              </w:numPr>
              <w:jc w:val="both"/>
            </w:pPr>
            <w:r w:rsidRPr="005E427C">
              <w:t>Signal processing for media integration</w:t>
            </w:r>
          </w:p>
          <w:p w:rsidR="00510325" w:rsidRPr="005E427C" w:rsidRDefault="00510325" w:rsidP="00510325">
            <w:pPr>
              <w:numPr>
                <w:ilvl w:val="0"/>
                <w:numId w:val="1"/>
              </w:numPr>
              <w:jc w:val="both"/>
            </w:pPr>
            <w:r w:rsidRPr="005E427C">
              <w:t>3D visualization, animation and virtual reality</w:t>
            </w:r>
          </w:p>
          <w:p w:rsidR="00510325" w:rsidRPr="005E427C" w:rsidRDefault="00510325" w:rsidP="00510325">
            <w:pPr>
              <w:numPr>
                <w:ilvl w:val="0"/>
                <w:numId w:val="1"/>
              </w:numPr>
              <w:jc w:val="both"/>
            </w:pPr>
            <w:r w:rsidRPr="005E427C">
              <w:t>Multi-modal multimedia computing systems and human-machine interaction</w:t>
            </w:r>
          </w:p>
          <w:p w:rsidR="00510325" w:rsidRPr="005E427C" w:rsidRDefault="00510325" w:rsidP="00510325">
            <w:pPr>
              <w:numPr>
                <w:ilvl w:val="0"/>
                <w:numId w:val="1"/>
              </w:numPr>
              <w:jc w:val="both"/>
            </w:pPr>
            <w:r w:rsidRPr="005E427C">
              <w:t>Multimedia communications and networking</w:t>
            </w:r>
          </w:p>
          <w:p w:rsidR="00510325" w:rsidRPr="005E427C" w:rsidRDefault="00510325" w:rsidP="00510325">
            <w:pPr>
              <w:numPr>
                <w:ilvl w:val="0"/>
                <w:numId w:val="1"/>
              </w:numPr>
              <w:jc w:val="both"/>
            </w:pPr>
            <w:r w:rsidRPr="005E427C">
              <w:t>Multimedia security and privacy</w:t>
            </w:r>
          </w:p>
          <w:p w:rsidR="00510325" w:rsidRPr="005E427C" w:rsidRDefault="00510325" w:rsidP="00510325">
            <w:pPr>
              <w:numPr>
                <w:ilvl w:val="0"/>
                <w:numId w:val="1"/>
              </w:numPr>
              <w:jc w:val="both"/>
            </w:pPr>
            <w:r w:rsidRPr="005E427C">
              <w:t>Multimedia databases and digital libraries</w:t>
            </w:r>
          </w:p>
          <w:p w:rsidR="00510325" w:rsidRPr="005E427C" w:rsidRDefault="00510325" w:rsidP="00510325">
            <w:pPr>
              <w:numPr>
                <w:ilvl w:val="0"/>
                <w:numId w:val="1"/>
              </w:numPr>
              <w:jc w:val="both"/>
            </w:pPr>
            <w:r w:rsidRPr="005E427C">
              <w:t>Multimedia applications and services</w:t>
            </w:r>
          </w:p>
          <w:p w:rsidR="00510325" w:rsidRPr="005E427C" w:rsidRDefault="00510325" w:rsidP="00510325">
            <w:pPr>
              <w:numPr>
                <w:ilvl w:val="0"/>
                <w:numId w:val="1"/>
              </w:numPr>
              <w:jc w:val="both"/>
            </w:pPr>
            <w:r w:rsidRPr="005E427C">
              <w:t>Media content analysis and search</w:t>
            </w:r>
          </w:p>
          <w:p w:rsidR="00510325" w:rsidRPr="005E427C" w:rsidRDefault="00510325" w:rsidP="00510325">
            <w:pPr>
              <w:numPr>
                <w:ilvl w:val="0"/>
                <w:numId w:val="1"/>
              </w:numPr>
              <w:jc w:val="both"/>
            </w:pPr>
            <w:r w:rsidRPr="005E427C">
              <w:t>Hardware and software for multimedia systems</w:t>
            </w:r>
          </w:p>
          <w:p w:rsidR="00510325" w:rsidRPr="005E427C" w:rsidRDefault="00510325" w:rsidP="00510325">
            <w:pPr>
              <w:numPr>
                <w:ilvl w:val="0"/>
                <w:numId w:val="1"/>
              </w:numPr>
              <w:jc w:val="both"/>
            </w:pPr>
            <w:r w:rsidRPr="005E427C">
              <w:t>Multimedia standards and related issues</w:t>
            </w:r>
          </w:p>
          <w:p w:rsidR="00510325" w:rsidRPr="005E427C" w:rsidRDefault="00510325" w:rsidP="00510325">
            <w:pPr>
              <w:numPr>
                <w:ilvl w:val="0"/>
                <w:numId w:val="1"/>
              </w:numPr>
              <w:jc w:val="both"/>
            </w:pPr>
            <w:r w:rsidRPr="005E427C">
              <w:t>Multimedia quality assessment</w:t>
            </w:r>
          </w:p>
          <w:p w:rsidR="00882946" w:rsidRDefault="00882946" w:rsidP="00510325">
            <w:pPr>
              <w:jc w:val="both"/>
              <w:rPr>
                <w:b/>
                <w:bCs/>
              </w:rPr>
            </w:pPr>
          </w:p>
          <w:p w:rsidR="000E16EB" w:rsidRPr="005E427C" w:rsidRDefault="000E16EB" w:rsidP="000E16EB">
            <w:pPr>
              <w:jc w:val="both"/>
              <w:rPr>
                <w:b/>
              </w:rPr>
            </w:pPr>
            <w:r w:rsidRPr="005E427C">
              <w:rPr>
                <w:b/>
              </w:rPr>
              <w:t>Proposal Submission</w:t>
            </w:r>
          </w:p>
          <w:p w:rsidR="000E16EB" w:rsidRPr="005E427C" w:rsidRDefault="000E16EB" w:rsidP="000E16EB">
            <w:pPr>
              <w:jc w:val="both"/>
            </w:pPr>
            <w:r w:rsidRPr="005E427C">
              <w:t xml:space="preserve">Tutorial proposals must be in PDF format and submitted via emails to </w:t>
            </w:r>
            <w:r>
              <w:t xml:space="preserve">Tutorial co-chairs </w:t>
            </w:r>
            <w:r w:rsidRPr="00A20BE8">
              <w:t>Yen-</w:t>
            </w:r>
            <w:proofErr w:type="spellStart"/>
            <w:r w:rsidRPr="00A20BE8">
              <w:t>Kuang</w:t>
            </w:r>
            <w:proofErr w:type="spellEnd"/>
            <w:r w:rsidRPr="00A20BE8">
              <w:t xml:space="preserve"> Chen</w:t>
            </w:r>
            <w:r>
              <w:rPr>
                <w:rFonts w:hint="eastAsia"/>
              </w:rPr>
              <w:t xml:space="preserve"> </w:t>
            </w:r>
            <w:r w:rsidRPr="000E16EB">
              <w:t>(</w:t>
            </w:r>
            <w:proofErr w:type="spellStart"/>
            <w:r w:rsidRPr="000E16EB">
              <w:t>y.k.chen</w:t>
            </w:r>
            <w:proofErr w:type="spellEnd"/>
            <w:r>
              <w:t xml:space="preserve"> [at] </w:t>
            </w:r>
            <w:r w:rsidRPr="000E16EB">
              <w:t xml:space="preserve">ieee.org) and </w:t>
            </w:r>
            <w:proofErr w:type="spellStart"/>
            <w:r w:rsidRPr="000E16EB">
              <w:t>Shuicheng</w:t>
            </w:r>
            <w:proofErr w:type="spellEnd"/>
            <w:r w:rsidRPr="000E16EB">
              <w:t xml:space="preserve"> Yan (</w:t>
            </w:r>
            <w:proofErr w:type="spellStart"/>
            <w:r w:rsidRPr="000E16EB">
              <w:t>eleyans</w:t>
            </w:r>
            <w:proofErr w:type="spellEnd"/>
            <w:r>
              <w:t xml:space="preserve"> [at] </w:t>
            </w:r>
            <w:r w:rsidRPr="000E16EB">
              <w:t>nus.edu.sg).</w:t>
            </w:r>
          </w:p>
          <w:p w:rsidR="000E16EB" w:rsidRDefault="000E16EB" w:rsidP="00510325">
            <w:pPr>
              <w:jc w:val="both"/>
              <w:rPr>
                <w:b/>
                <w:bCs/>
              </w:rPr>
            </w:pPr>
          </w:p>
          <w:p w:rsidR="00660B3D" w:rsidRPr="005E427C" w:rsidRDefault="00660B3D" w:rsidP="00660B3D">
            <w:pPr>
              <w:jc w:val="both"/>
              <w:rPr>
                <w:b/>
              </w:rPr>
            </w:pPr>
            <w:r w:rsidRPr="005E427C">
              <w:rPr>
                <w:b/>
              </w:rPr>
              <w:t>Selection</w:t>
            </w:r>
          </w:p>
          <w:p w:rsidR="00660B3D" w:rsidRPr="005E427C" w:rsidRDefault="00660B3D" w:rsidP="00660B3D">
            <w:pPr>
              <w:jc w:val="both"/>
            </w:pPr>
            <w:r w:rsidRPr="005E427C">
              <w:t xml:space="preserve">All tutorial proposals </w:t>
            </w:r>
            <w:r>
              <w:t>may</w:t>
            </w:r>
            <w:r w:rsidRPr="005E427C">
              <w:t xml:space="preserve"> first receive peer review. Then, from the pool of proposal deemed of the hig</w:t>
            </w:r>
            <w:r w:rsidRPr="005E427C">
              <w:t>h</w:t>
            </w:r>
            <w:r w:rsidRPr="005E427C">
              <w:t>est quality, the chairs will make the final selection of tutorials to present the greatest variety to confe</w:t>
            </w:r>
            <w:r w:rsidRPr="005E427C">
              <w:t>r</w:t>
            </w:r>
            <w:r w:rsidRPr="005E427C">
              <w:t>ence attendees and to fit the conference schedule.</w:t>
            </w:r>
          </w:p>
          <w:p w:rsidR="007E5F5C" w:rsidRDefault="007E5F5C" w:rsidP="007E5F5C">
            <w:pPr>
              <w:jc w:val="both"/>
              <w:rPr>
                <w:b/>
                <w:bCs/>
              </w:rPr>
            </w:pPr>
          </w:p>
          <w:p w:rsidR="007E5F5C" w:rsidRDefault="007E5F5C" w:rsidP="007E5F5C">
            <w:pPr>
              <w:jc w:val="both"/>
              <w:rPr>
                <w:b/>
                <w:bCs/>
              </w:rPr>
            </w:pPr>
          </w:p>
          <w:p w:rsidR="007E5F5C" w:rsidRDefault="007E5F5C" w:rsidP="007E5F5C">
            <w:pPr>
              <w:jc w:val="both"/>
              <w:rPr>
                <w:b/>
                <w:bCs/>
              </w:rPr>
            </w:pPr>
          </w:p>
          <w:p w:rsidR="007E5F5C" w:rsidRDefault="007E5F5C" w:rsidP="007E5F5C">
            <w:pPr>
              <w:jc w:val="both"/>
              <w:rPr>
                <w:b/>
                <w:bCs/>
              </w:rPr>
            </w:pPr>
          </w:p>
          <w:p w:rsidR="00660B3D" w:rsidRDefault="00660B3D" w:rsidP="00510325">
            <w:pPr>
              <w:jc w:val="both"/>
              <w:rPr>
                <w:rFonts w:eastAsia="PMingLiU"/>
                <w:b/>
                <w:bCs/>
                <w:lang w:eastAsia="zh-TW"/>
              </w:rPr>
            </w:pPr>
          </w:p>
          <w:p w:rsidR="007E5F5C" w:rsidRDefault="007E5F5C" w:rsidP="00510325">
            <w:pPr>
              <w:jc w:val="both"/>
              <w:rPr>
                <w:rFonts w:eastAsia="PMingLiU"/>
                <w:b/>
                <w:bCs/>
                <w:lang w:eastAsia="zh-TW"/>
              </w:rPr>
            </w:pPr>
          </w:p>
          <w:p w:rsidR="00660B3D" w:rsidRPr="005E427C" w:rsidRDefault="00404F67" w:rsidP="00660B3D">
            <w:pPr>
              <w:jc w:val="both"/>
              <w:rPr>
                <w:b/>
              </w:rPr>
            </w:pPr>
            <w:r>
              <w:rPr>
                <w:b/>
              </w:rPr>
              <w:t>U</w:t>
            </w:r>
            <w:r w:rsidR="00660B3D" w:rsidRPr="005E427C">
              <w:rPr>
                <w:b/>
              </w:rPr>
              <w:t>pon Acceptance</w:t>
            </w:r>
          </w:p>
          <w:p w:rsidR="00660B3D" w:rsidRDefault="00660B3D" w:rsidP="00660B3D">
            <w:pPr>
              <w:jc w:val="both"/>
            </w:pPr>
            <w:r w:rsidRPr="005E427C">
              <w:t>Speakers for all accepted tutorials will be required to sign a commitment to present at the conference within 30 days of notification.  Speakers also need to provide a 300-word abstract (for inclusion in regi</w:t>
            </w:r>
            <w:r w:rsidRPr="005E427C">
              <w:t>s</w:t>
            </w:r>
            <w:r w:rsidRPr="005E427C">
              <w:t xml:space="preserve">tration materials). Materials for the conference DVD must be delivered by </w:t>
            </w:r>
            <w:r>
              <w:rPr>
                <w:rFonts w:hint="eastAsia"/>
              </w:rPr>
              <w:t>15</w:t>
            </w:r>
            <w:r w:rsidRPr="002816DB">
              <w:rPr>
                <w:rFonts w:hint="eastAsia"/>
                <w:vertAlign w:val="superscript"/>
              </w:rPr>
              <w:t>th</w:t>
            </w:r>
            <w:r>
              <w:rPr>
                <w:rFonts w:hint="eastAsia"/>
              </w:rPr>
              <w:t xml:space="preserve"> March</w:t>
            </w:r>
            <w:r w:rsidRPr="005E427C">
              <w:t xml:space="preserve">, 2012. </w:t>
            </w:r>
            <w:r>
              <w:rPr>
                <w:rFonts w:hint="eastAsia"/>
              </w:rPr>
              <w:t xml:space="preserve"> </w:t>
            </w:r>
          </w:p>
          <w:p w:rsidR="00660B3D" w:rsidRDefault="00660B3D" w:rsidP="00510325">
            <w:pPr>
              <w:jc w:val="both"/>
              <w:rPr>
                <w:b/>
                <w:bCs/>
              </w:rPr>
            </w:pPr>
          </w:p>
          <w:p w:rsidR="00510325" w:rsidRPr="005E427C" w:rsidRDefault="00510325" w:rsidP="00510325">
            <w:pPr>
              <w:jc w:val="both"/>
              <w:rPr>
                <w:b/>
                <w:bCs/>
              </w:rPr>
            </w:pPr>
            <w:r w:rsidRPr="005E427C">
              <w:rPr>
                <w:b/>
                <w:bCs/>
              </w:rPr>
              <w:t>Proposal Format</w:t>
            </w:r>
          </w:p>
          <w:p w:rsidR="00510325" w:rsidRPr="005E427C" w:rsidRDefault="00510325" w:rsidP="00510325">
            <w:pPr>
              <w:jc w:val="both"/>
            </w:pPr>
            <w:r w:rsidRPr="005E427C">
              <w:t>Proposals, prepared in a</w:t>
            </w:r>
            <w:r w:rsidR="00404F67">
              <w:t>n</w:t>
            </w:r>
            <w:r w:rsidRPr="005E427C">
              <w:t xml:space="preserve"> one‐column PDF file (no more than 3 pages), should include the following i</w:t>
            </w:r>
            <w:r w:rsidRPr="005E427C">
              <w:t>n</w:t>
            </w:r>
            <w:r w:rsidRPr="005E427C">
              <w:t>formation:</w:t>
            </w:r>
          </w:p>
          <w:p w:rsidR="00510325" w:rsidRPr="005E427C" w:rsidRDefault="00510325" w:rsidP="00510325">
            <w:pPr>
              <w:pStyle w:val="ListParagraph"/>
              <w:numPr>
                <w:ilvl w:val="0"/>
                <w:numId w:val="3"/>
              </w:numPr>
              <w:jc w:val="both"/>
            </w:pPr>
            <w:r w:rsidRPr="005E427C">
              <w:t>Title of the tutorial</w:t>
            </w:r>
          </w:p>
          <w:p w:rsidR="00510325" w:rsidRPr="005E427C" w:rsidRDefault="00510325" w:rsidP="00510325">
            <w:pPr>
              <w:pStyle w:val="ListParagraph"/>
              <w:numPr>
                <w:ilvl w:val="0"/>
                <w:numId w:val="3"/>
              </w:numPr>
              <w:jc w:val="both"/>
            </w:pPr>
            <w:r w:rsidRPr="005E427C">
              <w:t>Keywords</w:t>
            </w:r>
          </w:p>
          <w:p w:rsidR="00510325" w:rsidRPr="005E427C" w:rsidRDefault="00510325" w:rsidP="00510325">
            <w:pPr>
              <w:pStyle w:val="ListParagraph"/>
              <w:numPr>
                <w:ilvl w:val="0"/>
                <w:numId w:val="3"/>
              </w:numPr>
              <w:jc w:val="both"/>
            </w:pPr>
            <w:r w:rsidRPr="005E427C">
              <w:t>Format of the tutorial (1/2 day or 1 day)</w:t>
            </w:r>
          </w:p>
          <w:p w:rsidR="00510325" w:rsidRPr="005E427C" w:rsidRDefault="00510325" w:rsidP="00510325">
            <w:pPr>
              <w:pStyle w:val="ListParagraph"/>
              <w:numPr>
                <w:ilvl w:val="0"/>
                <w:numId w:val="2"/>
              </w:numPr>
              <w:jc w:val="both"/>
            </w:pPr>
            <w:r>
              <w:t xml:space="preserve">Description of </w:t>
            </w:r>
            <w:r w:rsidRPr="005E427C">
              <w:t>the</w:t>
            </w:r>
            <w:r>
              <w:t xml:space="preserve"> </w:t>
            </w:r>
            <w:r w:rsidRPr="005E427C">
              <w:t>tutorial</w:t>
            </w:r>
          </w:p>
          <w:p w:rsidR="00510325" w:rsidRPr="005E427C" w:rsidRDefault="00510325" w:rsidP="00510325">
            <w:pPr>
              <w:pStyle w:val="ListParagraph"/>
              <w:numPr>
                <w:ilvl w:val="1"/>
                <w:numId w:val="2"/>
              </w:numPr>
              <w:jc w:val="both"/>
            </w:pPr>
            <w:r w:rsidRPr="005E427C">
              <w:t>I. Motivation--</w:t>
            </w:r>
            <w:r>
              <w:t>-“Why is this topic important?”</w:t>
            </w:r>
          </w:p>
          <w:p w:rsidR="00510325" w:rsidRPr="005E427C" w:rsidRDefault="00510325" w:rsidP="00510325">
            <w:pPr>
              <w:pStyle w:val="ListParagraph"/>
              <w:numPr>
                <w:ilvl w:val="1"/>
                <w:numId w:val="2"/>
              </w:numPr>
              <w:jc w:val="both"/>
            </w:pPr>
            <w:r w:rsidRPr="005E427C">
              <w:t>II. Objectives---“Why sh</w:t>
            </w:r>
            <w:r>
              <w:t>ould one attend this tutorial?”</w:t>
            </w:r>
          </w:p>
          <w:p w:rsidR="00510325" w:rsidRPr="005E427C" w:rsidRDefault="00510325" w:rsidP="00510325">
            <w:pPr>
              <w:pStyle w:val="ListParagraph"/>
              <w:numPr>
                <w:ilvl w:val="1"/>
                <w:numId w:val="2"/>
              </w:numPr>
              <w:jc w:val="both"/>
            </w:pPr>
            <w:r w:rsidRPr="005E427C">
              <w:t>III. Key takeaway messages---“What can the attendees learn f</w:t>
            </w:r>
            <w:r>
              <w:t>rom this tutorial?”</w:t>
            </w:r>
          </w:p>
          <w:p w:rsidR="00510325" w:rsidRPr="005E427C" w:rsidRDefault="00510325" w:rsidP="00510325">
            <w:pPr>
              <w:pStyle w:val="ListParagraph"/>
              <w:numPr>
                <w:ilvl w:val="1"/>
                <w:numId w:val="2"/>
              </w:numPr>
              <w:jc w:val="both"/>
            </w:pPr>
            <w:r w:rsidRPr="005E427C">
              <w:t>IV. Target audience and prerequisite knowledge of audience---“Who should attend this tutorial?</w:t>
            </w:r>
            <w:r>
              <w:t>”</w:t>
            </w:r>
          </w:p>
          <w:p w:rsidR="00510325" w:rsidRDefault="00510325" w:rsidP="00510325">
            <w:pPr>
              <w:pStyle w:val="ListParagraph"/>
              <w:numPr>
                <w:ilvl w:val="1"/>
                <w:numId w:val="2"/>
              </w:numPr>
              <w:jc w:val="both"/>
            </w:pPr>
            <w:r w:rsidRPr="005E427C">
              <w:t>V. Outline---“What does the speaker</w:t>
            </w:r>
            <w:r>
              <w:t xml:space="preserve"> plan to give in the tutorial?”</w:t>
            </w:r>
          </w:p>
          <w:p w:rsidR="00510325" w:rsidRDefault="00510325" w:rsidP="00510325">
            <w:pPr>
              <w:pStyle w:val="ListParagraph"/>
              <w:numPr>
                <w:ilvl w:val="1"/>
                <w:numId w:val="2"/>
              </w:numPr>
              <w:jc w:val="both"/>
            </w:pPr>
            <w:r w:rsidRPr="005E427C">
              <w:t>V</w:t>
            </w:r>
            <w:r>
              <w:t>I</w:t>
            </w:r>
            <w:r w:rsidRPr="005E427C">
              <w:t>. Speaker’s credentials, e.g., a short BIO, whether the speaker has offered tutorials b</w:t>
            </w:r>
            <w:r w:rsidRPr="005E427C">
              <w:t>e</w:t>
            </w:r>
            <w:r w:rsidRPr="005E427C">
              <w:t>fore---“Why should ICME choose this s</w:t>
            </w:r>
            <w:r>
              <w:t>peaker to teach this tutorial?”</w:t>
            </w:r>
          </w:p>
          <w:p w:rsidR="00510325" w:rsidRPr="005E427C" w:rsidRDefault="00510325" w:rsidP="00510325">
            <w:pPr>
              <w:pStyle w:val="ListParagraph"/>
              <w:numPr>
                <w:ilvl w:val="0"/>
                <w:numId w:val="2"/>
              </w:numPr>
              <w:jc w:val="both"/>
            </w:pPr>
            <w:r w:rsidRPr="005E427C">
              <w:t>Materials: A description (one or two paragraphs) of materials to be provided to attendees on the conference DVD – course slides, annotated bibliography, code snippets etc. NOTE: the materials themselves do not need to be provided in the proposal.</w:t>
            </w:r>
          </w:p>
          <w:p w:rsidR="00510325" w:rsidRDefault="00510325" w:rsidP="00510325">
            <w:pPr>
              <w:jc w:val="both"/>
            </w:pPr>
          </w:p>
          <w:p w:rsidR="00660B3D" w:rsidRDefault="00660B3D" w:rsidP="00660B3D">
            <w:pPr>
              <w:jc w:val="both"/>
              <w:rPr>
                <w:b/>
                <w:bCs/>
              </w:rPr>
            </w:pPr>
            <w:r w:rsidRPr="00882946">
              <w:rPr>
                <w:b/>
                <w:bCs/>
              </w:rPr>
              <w:t>Important Dates:</w:t>
            </w:r>
          </w:p>
          <w:p w:rsidR="00660B3D" w:rsidRPr="005E427C" w:rsidRDefault="00660B3D" w:rsidP="00660B3D">
            <w:pPr>
              <w:pStyle w:val="ListParagraph"/>
              <w:numPr>
                <w:ilvl w:val="0"/>
                <w:numId w:val="4"/>
              </w:numPr>
              <w:jc w:val="both"/>
            </w:pPr>
            <w:r w:rsidRPr="005E427C">
              <w:t xml:space="preserve">Tutorial Proposal Due: </w:t>
            </w:r>
            <w:r w:rsidR="00A4072D">
              <w:rPr>
                <w:rFonts w:eastAsia="PMingLiU"/>
                <w:lang w:eastAsia="zh-TW"/>
              </w:rPr>
              <w:t>29</w:t>
            </w:r>
            <w:bookmarkStart w:id="0" w:name="_GoBack"/>
            <w:bookmarkEnd w:id="0"/>
            <w:r w:rsidR="007E5F5C" w:rsidRPr="007E5F5C">
              <w:rPr>
                <w:rFonts w:eastAsia="PMingLiU" w:hint="eastAsia"/>
                <w:vertAlign w:val="superscript"/>
                <w:lang w:eastAsia="zh-TW"/>
              </w:rPr>
              <w:t>th</w:t>
            </w:r>
            <w:r w:rsidR="007E5F5C">
              <w:rPr>
                <w:rFonts w:eastAsia="PMingLiU" w:hint="eastAsia"/>
                <w:lang w:eastAsia="zh-TW"/>
              </w:rPr>
              <w:t xml:space="preserve"> </w:t>
            </w:r>
            <w:r w:rsidR="007E5F5C">
              <w:t>Oct</w:t>
            </w:r>
            <w:r w:rsidR="007E5F5C">
              <w:rPr>
                <w:rFonts w:eastAsia="PMingLiU"/>
                <w:lang w:eastAsia="zh-TW"/>
              </w:rPr>
              <w:t>ober</w:t>
            </w:r>
            <w:r w:rsidRPr="005E427C">
              <w:t>, 2011</w:t>
            </w:r>
          </w:p>
          <w:p w:rsidR="00660B3D" w:rsidRDefault="00660B3D" w:rsidP="00660B3D">
            <w:pPr>
              <w:pStyle w:val="ListParagraph"/>
              <w:numPr>
                <w:ilvl w:val="0"/>
                <w:numId w:val="4"/>
              </w:numPr>
              <w:jc w:val="both"/>
            </w:pPr>
            <w:r w:rsidRPr="005E427C">
              <w:t xml:space="preserve">Notification of Decision: </w:t>
            </w:r>
            <w:r w:rsidR="007E5F5C">
              <w:rPr>
                <w:rFonts w:eastAsia="PMingLiU" w:hint="eastAsia"/>
                <w:lang w:eastAsia="zh-TW"/>
              </w:rPr>
              <w:t>15</w:t>
            </w:r>
            <w:r w:rsidR="007E5F5C" w:rsidRPr="007E5F5C">
              <w:rPr>
                <w:rFonts w:eastAsia="PMingLiU" w:hint="eastAsia"/>
                <w:vertAlign w:val="superscript"/>
                <w:lang w:eastAsia="zh-TW"/>
              </w:rPr>
              <w:t>th</w:t>
            </w:r>
            <w:r w:rsidR="007E5F5C">
              <w:rPr>
                <w:rFonts w:eastAsia="PMingLiU" w:hint="eastAsia"/>
                <w:lang w:eastAsia="zh-TW"/>
              </w:rPr>
              <w:t xml:space="preserve"> </w:t>
            </w:r>
            <w:r>
              <w:t>Dec</w:t>
            </w:r>
            <w:r w:rsidR="007E5F5C">
              <w:rPr>
                <w:rFonts w:eastAsia="PMingLiU" w:hint="eastAsia"/>
                <w:lang w:eastAsia="zh-TW"/>
              </w:rPr>
              <w:t>ember</w:t>
            </w:r>
            <w:r>
              <w:t>, 2011</w:t>
            </w:r>
          </w:p>
          <w:p w:rsidR="00660B3D" w:rsidRPr="005E427C" w:rsidRDefault="00660B3D" w:rsidP="00660B3D">
            <w:pPr>
              <w:pStyle w:val="ListParagraph"/>
              <w:numPr>
                <w:ilvl w:val="0"/>
                <w:numId w:val="4"/>
              </w:numPr>
              <w:jc w:val="both"/>
            </w:pPr>
            <w:r>
              <w:t xml:space="preserve">Tutorial materials Due: </w:t>
            </w:r>
            <w:r w:rsidR="007E5F5C">
              <w:rPr>
                <w:rFonts w:eastAsia="PMingLiU" w:hint="eastAsia"/>
                <w:lang w:eastAsia="zh-TW"/>
              </w:rPr>
              <w:t>15</w:t>
            </w:r>
            <w:r w:rsidR="007E5F5C" w:rsidRPr="007E5F5C">
              <w:rPr>
                <w:rFonts w:eastAsia="PMingLiU" w:hint="eastAsia"/>
                <w:vertAlign w:val="superscript"/>
                <w:lang w:eastAsia="zh-TW"/>
              </w:rPr>
              <w:t>th</w:t>
            </w:r>
            <w:r w:rsidR="007E5F5C">
              <w:rPr>
                <w:rFonts w:eastAsia="PMingLiU" w:hint="eastAsia"/>
                <w:lang w:eastAsia="zh-TW"/>
              </w:rPr>
              <w:t xml:space="preserve"> </w:t>
            </w:r>
            <w:r>
              <w:t>March, 2012</w:t>
            </w:r>
          </w:p>
          <w:p w:rsidR="00660B3D" w:rsidRDefault="00660B3D" w:rsidP="00510325">
            <w:pPr>
              <w:jc w:val="both"/>
            </w:pPr>
          </w:p>
          <w:p w:rsidR="000E16EB" w:rsidRDefault="000E16EB" w:rsidP="000E16EB">
            <w:pPr>
              <w:jc w:val="both"/>
              <w:rPr>
                <w:b/>
                <w:bCs/>
              </w:rPr>
            </w:pPr>
            <w:r>
              <w:rPr>
                <w:b/>
                <w:bCs/>
              </w:rPr>
              <w:t>Tutorial co-chairs</w:t>
            </w:r>
            <w:r w:rsidRPr="00882946">
              <w:rPr>
                <w:b/>
                <w:bCs/>
              </w:rPr>
              <w:t>:</w:t>
            </w:r>
          </w:p>
          <w:p w:rsidR="000E16EB" w:rsidRDefault="000E16EB" w:rsidP="000E16EB">
            <w:pPr>
              <w:jc w:val="both"/>
            </w:pPr>
            <w:r w:rsidRPr="00A20BE8">
              <w:t>Yen-</w:t>
            </w:r>
            <w:proofErr w:type="spellStart"/>
            <w:r w:rsidRPr="00A20BE8">
              <w:t>Kuang</w:t>
            </w:r>
            <w:proofErr w:type="spellEnd"/>
            <w:r w:rsidRPr="00A20BE8">
              <w:t xml:space="preserve"> Chen</w:t>
            </w:r>
            <w:r>
              <w:rPr>
                <w:rFonts w:hint="eastAsia"/>
              </w:rPr>
              <w:t xml:space="preserve"> </w:t>
            </w:r>
            <w:r w:rsidRPr="000E16EB">
              <w:t>(</w:t>
            </w:r>
            <w:proofErr w:type="spellStart"/>
            <w:r w:rsidRPr="000E16EB">
              <w:t>y.k.chen</w:t>
            </w:r>
            <w:proofErr w:type="spellEnd"/>
            <w:r>
              <w:t xml:space="preserve"> [at] ieee.org), Intel Corporation, USA</w:t>
            </w:r>
          </w:p>
          <w:p w:rsidR="000E16EB" w:rsidRDefault="000E16EB" w:rsidP="000E16EB">
            <w:pPr>
              <w:jc w:val="both"/>
            </w:pPr>
            <w:proofErr w:type="spellStart"/>
            <w:r>
              <w:t>Shuicheng</w:t>
            </w:r>
            <w:proofErr w:type="spellEnd"/>
            <w:r>
              <w:t xml:space="preserve"> Yan (</w:t>
            </w:r>
            <w:proofErr w:type="spellStart"/>
            <w:r>
              <w:t>eleyans</w:t>
            </w:r>
            <w:proofErr w:type="spellEnd"/>
            <w:r>
              <w:t xml:space="preserve"> [at] nus.edu.sg), National University of Singapore, Singapore</w:t>
            </w:r>
          </w:p>
          <w:p w:rsidR="000E16EB" w:rsidRDefault="000E16EB" w:rsidP="000E16EB">
            <w:pPr>
              <w:jc w:val="both"/>
            </w:pPr>
          </w:p>
          <w:p w:rsidR="000E16EB" w:rsidRDefault="000E16EB" w:rsidP="000E16EB">
            <w:pPr>
              <w:jc w:val="both"/>
            </w:pPr>
            <w:r>
              <w:t xml:space="preserve">Main conference email: </w:t>
            </w:r>
            <w:hyperlink r:id="rId10" w:history="1">
              <w:r w:rsidRPr="0039026E">
                <w:rPr>
                  <w:rStyle w:val="Hyperlink"/>
                </w:rPr>
                <w:t>icme2012@icme2012.org</w:t>
              </w:r>
            </w:hyperlink>
            <w:r>
              <w:t xml:space="preserve"> </w:t>
            </w:r>
          </w:p>
          <w:p w:rsidR="007C6E8B" w:rsidRPr="000E16EB" w:rsidRDefault="000E16EB" w:rsidP="000E16EB">
            <w:pPr>
              <w:jc w:val="both"/>
            </w:pPr>
            <w:r>
              <w:t xml:space="preserve">Main conference website: </w:t>
            </w:r>
            <w:hyperlink r:id="rId11" w:history="1">
              <w:r w:rsidRPr="0039026E">
                <w:rPr>
                  <w:rStyle w:val="Hyperlink"/>
                </w:rPr>
                <w:t>http://www.icme2012.org/</w:t>
              </w:r>
            </w:hyperlink>
            <w:r>
              <w:t xml:space="preserve"> </w:t>
            </w:r>
          </w:p>
        </w:tc>
      </w:tr>
    </w:tbl>
    <w:p w:rsidR="005E427C" w:rsidRPr="005E427C" w:rsidRDefault="005E427C" w:rsidP="009A40AD">
      <w:pPr>
        <w:jc w:val="both"/>
      </w:pPr>
    </w:p>
    <w:p w:rsidR="00C5145A" w:rsidRPr="005E427C" w:rsidRDefault="00C5145A" w:rsidP="009A40AD">
      <w:pPr>
        <w:jc w:val="both"/>
      </w:pPr>
    </w:p>
    <w:sectPr w:rsidR="00C5145A" w:rsidRPr="005E427C" w:rsidSect="00510325">
      <w:pgSz w:w="12240" w:h="15840"/>
      <w:pgMar w:top="0" w:right="0" w:bottom="1151" w:left="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D6B" w:rsidRDefault="00514D6B" w:rsidP="00510325">
      <w:pPr>
        <w:spacing w:after="0" w:line="240" w:lineRule="auto"/>
      </w:pPr>
      <w:r>
        <w:separator/>
      </w:r>
    </w:p>
  </w:endnote>
  <w:endnote w:type="continuationSeparator" w:id="0">
    <w:p w:rsidR="00514D6B" w:rsidRDefault="00514D6B" w:rsidP="00510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D6B" w:rsidRDefault="00514D6B" w:rsidP="00510325">
      <w:pPr>
        <w:spacing w:after="0" w:line="240" w:lineRule="auto"/>
      </w:pPr>
      <w:r>
        <w:separator/>
      </w:r>
    </w:p>
  </w:footnote>
  <w:footnote w:type="continuationSeparator" w:id="0">
    <w:p w:rsidR="00514D6B" w:rsidRDefault="00514D6B" w:rsidP="00510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87030"/>
    <w:multiLevelType w:val="hybridMultilevel"/>
    <w:tmpl w:val="9A1E1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12CA2"/>
    <w:multiLevelType w:val="hybridMultilevel"/>
    <w:tmpl w:val="1898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54652"/>
    <w:multiLevelType w:val="multilevel"/>
    <w:tmpl w:val="100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57465B"/>
    <w:multiLevelType w:val="hybridMultilevel"/>
    <w:tmpl w:val="9C2C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D15CB"/>
    <w:rsid w:val="000677D6"/>
    <w:rsid w:val="000765EF"/>
    <w:rsid w:val="000D31B3"/>
    <w:rsid w:val="000E16EB"/>
    <w:rsid w:val="00114863"/>
    <w:rsid w:val="001B2C47"/>
    <w:rsid w:val="002375DB"/>
    <w:rsid w:val="002816DB"/>
    <w:rsid w:val="00404F67"/>
    <w:rsid w:val="00430DC8"/>
    <w:rsid w:val="004A6B51"/>
    <w:rsid w:val="00510325"/>
    <w:rsid w:val="00514D6B"/>
    <w:rsid w:val="00575164"/>
    <w:rsid w:val="005C3175"/>
    <w:rsid w:val="005E427C"/>
    <w:rsid w:val="00627920"/>
    <w:rsid w:val="00641138"/>
    <w:rsid w:val="00660B3D"/>
    <w:rsid w:val="006D0D68"/>
    <w:rsid w:val="006E6D6F"/>
    <w:rsid w:val="00753612"/>
    <w:rsid w:val="00753CF4"/>
    <w:rsid w:val="00795DEA"/>
    <w:rsid w:val="007A2ECB"/>
    <w:rsid w:val="007C6E8B"/>
    <w:rsid w:val="007E5F5C"/>
    <w:rsid w:val="00841E79"/>
    <w:rsid w:val="0086086F"/>
    <w:rsid w:val="00882946"/>
    <w:rsid w:val="00895783"/>
    <w:rsid w:val="00897D7C"/>
    <w:rsid w:val="008D15CB"/>
    <w:rsid w:val="009863EA"/>
    <w:rsid w:val="009909BC"/>
    <w:rsid w:val="009A40AD"/>
    <w:rsid w:val="00A20BE8"/>
    <w:rsid w:val="00A245FC"/>
    <w:rsid w:val="00A4072D"/>
    <w:rsid w:val="00B16A97"/>
    <w:rsid w:val="00B87CFD"/>
    <w:rsid w:val="00C36560"/>
    <w:rsid w:val="00C5145A"/>
    <w:rsid w:val="00C63E5F"/>
    <w:rsid w:val="00C97AEB"/>
    <w:rsid w:val="00CE5406"/>
    <w:rsid w:val="00D643F3"/>
    <w:rsid w:val="00E3790D"/>
    <w:rsid w:val="00E872E8"/>
    <w:rsid w:val="00EE4258"/>
    <w:rsid w:val="00F03273"/>
    <w:rsid w:val="00FB5C75"/>
    <w:rsid w:val="00FD29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38"/>
  </w:style>
  <w:style w:type="paragraph" w:styleId="Heading3">
    <w:name w:val="heading 3"/>
    <w:basedOn w:val="Normal"/>
    <w:link w:val="Heading3Char"/>
    <w:uiPriority w:val="9"/>
    <w:qFormat/>
    <w:rsid w:val="008D15CB"/>
    <w:pPr>
      <w:spacing w:before="100" w:beforeAutospacing="1" w:after="0" w:line="240" w:lineRule="auto"/>
      <w:ind w:left="103"/>
      <w:outlineLvl w:val="2"/>
    </w:pPr>
    <w:rPr>
      <w:rFonts w:ascii="Times New Roman" w:eastAsia="Times New Roman" w:hAnsi="Times New Roman" w:cs="Times New Roman"/>
      <w:b/>
      <w:bCs/>
      <w:color w:val="27303C"/>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5CB"/>
    <w:rPr>
      <w:rFonts w:ascii="Times New Roman" w:eastAsia="Times New Roman" w:hAnsi="Times New Roman" w:cs="Times New Roman"/>
      <w:b/>
      <w:bCs/>
      <w:color w:val="27303C"/>
      <w:sz w:val="19"/>
      <w:szCs w:val="19"/>
    </w:rPr>
  </w:style>
  <w:style w:type="paragraph" w:styleId="NormalWeb">
    <w:name w:val="Normal (Web)"/>
    <w:basedOn w:val="Normal"/>
    <w:uiPriority w:val="99"/>
    <w:semiHidden/>
    <w:unhideWhenUsed/>
    <w:rsid w:val="008D1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ed1">
    <w:name w:val="indented1"/>
    <w:basedOn w:val="DefaultParagraphFont"/>
    <w:rsid w:val="008D15CB"/>
  </w:style>
  <w:style w:type="paragraph" w:styleId="ListParagraph">
    <w:name w:val="List Paragraph"/>
    <w:basedOn w:val="Normal"/>
    <w:uiPriority w:val="34"/>
    <w:qFormat/>
    <w:rsid w:val="00C5145A"/>
    <w:pPr>
      <w:ind w:left="720"/>
      <w:contextualSpacing/>
    </w:pPr>
  </w:style>
  <w:style w:type="character" w:styleId="Hyperlink">
    <w:name w:val="Hyperlink"/>
    <w:basedOn w:val="DefaultParagraphFont"/>
    <w:uiPriority w:val="99"/>
    <w:unhideWhenUsed/>
    <w:rsid w:val="000D31B3"/>
    <w:rPr>
      <w:color w:val="0000FF" w:themeColor="hyperlink"/>
      <w:u w:val="single"/>
    </w:rPr>
  </w:style>
  <w:style w:type="paragraph" w:styleId="Header">
    <w:name w:val="header"/>
    <w:basedOn w:val="Normal"/>
    <w:link w:val="HeaderChar"/>
    <w:uiPriority w:val="99"/>
    <w:semiHidden/>
    <w:unhideWhenUsed/>
    <w:rsid w:val="0051032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510325"/>
    <w:rPr>
      <w:sz w:val="20"/>
      <w:szCs w:val="20"/>
    </w:rPr>
  </w:style>
  <w:style w:type="paragraph" w:styleId="Footer">
    <w:name w:val="footer"/>
    <w:basedOn w:val="Normal"/>
    <w:link w:val="FooterChar"/>
    <w:uiPriority w:val="99"/>
    <w:semiHidden/>
    <w:unhideWhenUsed/>
    <w:rsid w:val="0051032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510325"/>
    <w:rPr>
      <w:sz w:val="20"/>
      <w:szCs w:val="20"/>
    </w:rPr>
  </w:style>
  <w:style w:type="paragraph" w:styleId="BalloonText">
    <w:name w:val="Balloon Text"/>
    <w:basedOn w:val="Normal"/>
    <w:link w:val="BalloonTextChar"/>
    <w:uiPriority w:val="99"/>
    <w:semiHidden/>
    <w:unhideWhenUsed/>
    <w:rsid w:val="00510325"/>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10325"/>
    <w:rPr>
      <w:rFonts w:asciiTheme="majorHAnsi" w:eastAsiaTheme="majorEastAsia" w:hAnsiTheme="majorHAnsi" w:cstheme="majorBidi"/>
      <w:sz w:val="18"/>
      <w:szCs w:val="18"/>
    </w:rPr>
  </w:style>
  <w:style w:type="table" w:styleId="TableGrid">
    <w:name w:val="Table Grid"/>
    <w:basedOn w:val="TableNormal"/>
    <w:uiPriority w:val="59"/>
    <w:rsid w:val="005103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82946"/>
    <w:pPr>
      <w:pBdr>
        <w:bottom w:val="single" w:sz="8" w:space="4" w:color="4F81BD"/>
      </w:pBdr>
      <w:spacing w:after="300" w:line="240" w:lineRule="auto"/>
      <w:contextualSpacing/>
    </w:pPr>
    <w:rPr>
      <w:rFonts w:ascii="Cambria" w:eastAsia="宋体" w:hAnsi="Cambria" w:cs="Times New Roman"/>
      <w:color w:val="17365D"/>
      <w:spacing w:val="5"/>
      <w:kern w:val="28"/>
      <w:sz w:val="52"/>
      <w:szCs w:val="52"/>
    </w:rPr>
  </w:style>
  <w:style w:type="character" w:customStyle="1" w:styleId="TitleChar">
    <w:name w:val="Title Char"/>
    <w:basedOn w:val="DefaultParagraphFont"/>
    <w:link w:val="Title"/>
    <w:uiPriority w:val="10"/>
    <w:rsid w:val="00882946"/>
    <w:rPr>
      <w:rFonts w:ascii="Cambria" w:eastAsia="宋体" w:hAnsi="Cambria" w:cs="Times New Roman"/>
      <w:color w:val="17365D"/>
      <w:spacing w:val="5"/>
      <w:kern w:val="28"/>
      <w:sz w:val="52"/>
      <w:szCs w:val="5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15CB"/>
    <w:pPr>
      <w:spacing w:before="100" w:beforeAutospacing="1" w:after="0" w:line="240" w:lineRule="auto"/>
      <w:ind w:left="103"/>
      <w:outlineLvl w:val="2"/>
    </w:pPr>
    <w:rPr>
      <w:rFonts w:ascii="Times New Roman" w:eastAsia="Times New Roman" w:hAnsi="Times New Roman" w:cs="Times New Roman"/>
      <w:b/>
      <w:bCs/>
      <w:color w:val="27303C"/>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5CB"/>
    <w:rPr>
      <w:rFonts w:ascii="Times New Roman" w:eastAsia="Times New Roman" w:hAnsi="Times New Roman" w:cs="Times New Roman"/>
      <w:b/>
      <w:bCs/>
      <w:color w:val="27303C"/>
      <w:sz w:val="19"/>
      <w:szCs w:val="19"/>
    </w:rPr>
  </w:style>
  <w:style w:type="paragraph" w:styleId="NormalWeb">
    <w:name w:val="Normal (Web)"/>
    <w:basedOn w:val="Normal"/>
    <w:uiPriority w:val="99"/>
    <w:semiHidden/>
    <w:unhideWhenUsed/>
    <w:rsid w:val="008D1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ed1">
    <w:name w:val="indented1"/>
    <w:basedOn w:val="DefaultParagraphFont"/>
    <w:rsid w:val="008D15CB"/>
  </w:style>
  <w:style w:type="paragraph" w:styleId="ListParagraph">
    <w:name w:val="List Paragraph"/>
    <w:basedOn w:val="Normal"/>
    <w:uiPriority w:val="34"/>
    <w:qFormat/>
    <w:rsid w:val="00C5145A"/>
    <w:pPr>
      <w:ind w:left="720"/>
      <w:contextualSpacing/>
    </w:pPr>
  </w:style>
  <w:style w:type="character" w:styleId="Hyperlink">
    <w:name w:val="Hyperlink"/>
    <w:basedOn w:val="DefaultParagraphFont"/>
    <w:uiPriority w:val="99"/>
    <w:unhideWhenUsed/>
    <w:rsid w:val="000D31B3"/>
    <w:rPr>
      <w:color w:val="0000FF" w:themeColor="hyperlink"/>
      <w:u w:val="single"/>
    </w:rPr>
  </w:style>
  <w:style w:type="paragraph" w:styleId="Header">
    <w:name w:val="header"/>
    <w:basedOn w:val="Normal"/>
    <w:link w:val="HeaderChar"/>
    <w:uiPriority w:val="99"/>
    <w:semiHidden/>
    <w:unhideWhenUsed/>
    <w:rsid w:val="0051032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510325"/>
    <w:rPr>
      <w:sz w:val="20"/>
      <w:szCs w:val="20"/>
    </w:rPr>
  </w:style>
  <w:style w:type="paragraph" w:styleId="Footer">
    <w:name w:val="footer"/>
    <w:basedOn w:val="Normal"/>
    <w:link w:val="FooterChar"/>
    <w:uiPriority w:val="99"/>
    <w:semiHidden/>
    <w:unhideWhenUsed/>
    <w:rsid w:val="0051032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510325"/>
    <w:rPr>
      <w:sz w:val="20"/>
      <w:szCs w:val="20"/>
    </w:rPr>
  </w:style>
  <w:style w:type="paragraph" w:styleId="BalloonText">
    <w:name w:val="Balloon Text"/>
    <w:basedOn w:val="Normal"/>
    <w:link w:val="BalloonTextChar"/>
    <w:uiPriority w:val="99"/>
    <w:semiHidden/>
    <w:unhideWhenUsed/>
    <w:rsid w:val="00510325"/>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10325"/>
    <w:rPr>
      <w:rFonts w:asciiTheme="majorHAnsi" w:eastAsiaTheme="majorEastAsia" w:hAnsiTheme="majorHAnsi" w:cstheme="majorBidi"/>
      <w:sz w:val="18"/>
      <w:szCs w:val="18"/>
    </w:rPr>
  </w:style>
  <w:style w:type="table" w:styleId="TableGrid">
    <w:name w:val="Table Grid"/>
    <w:basedOn w:val="TableNormal"/>
    <w:uiPriority w:val="59"/>
    <w:rsid w:val="005103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82946"/>
    <w:pPr>
      <w:pBdr>
        <w:bottom w:val="single" w:sz="8" w:space="4" w:color="4F81BD"/>
      </w:pBdr>
      <w:spacing w:after="300" w:line="240" w:lineRule="auto"/>
      <w:contextualSpacing/>
    </w:pPr>
    <w:rPr>
      <w:rFonts w:ascii="Cambria" w:eastAsia="宋体" w:hAnsi="Cambria" w:cs="Times New Roman"/>
      <w:color w:val="17365D"/>
      <w:spacing w:val="5"/>
      <w:kern w:val="28"/>
      <w:sz w:val="52"/>
      <w:szCs w:val="52"/>
    </w:rPr>
  </w:style>
  <w:style w:type="character" w:customStyle="1" w:styleId="TitleChar">
    <w:name w:val="Title Char"/>
    <w:basedOn w:val="DefaultParagraphFont"/>
    <w:link w:val="Title"/>
    <w:uiPriority w:val="10"/>
    <w:rsid w:val="00882946"/>
    <w:rPr>
      <w:rFonts w:ascii="Cambria" w:eastAsia="宋体" w:hAnsi="Cambria" w:cs="Times New Roman"/>
      <w:color w:val="17365D"/>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42323">
      <w:bodyDiv w:val="1"/>
      <w:marLeft w:val="0"/>
      <w:marRight w:val="0"/>
      <w:marTop w:val="0"/>
      <w:marBottom w:val="7"/>
      <w:divBdr>
        <w:top w:val="none" w:sz="0" w:space="0" w:color="auto"/>
        <w:left w:val="none" w:sz="0" w:space="0" w:color="auto"/>
        <w:bottom w:val="none" w:sz="0" w:space="0" w:color="auto"/>
        <w:right w:val="none" w:sz="0" w:space="0" w:color="auto"/>
      </w:divBdr>
      <w:divsChild>
        <w:div w:id="1408574413">
          <w:marLeft w:val="34"/>
          <w:marRight w:val="34"/>
          <w:marTop w:val="0"/>
          <w:marBottom w:val="0"/>
          <w:divBdr>
            <w:top w:val="none" w:sz="0" w:space="0" w:color="auto"/>
            <w:left w:val="none" w:sz="0" w:space="0" w:color="auto"/>
            <w:bottom w:val="none" w:sz="0" w:space="0" w:color="auto"/>
            <w:right w:val="none" w:sz="0" w:space="0" w:color="auto"/>
          </w:divBdr>
          <w:divsChild>
            <w:div w:id="1597132381">
              <w:marLeft w:val="0"/>
              <w:marRight w:val="0"/>
              <w:marTop w:val="0"/>
              <w:marBottom w:val="0"/>
              <w:divBdr>
                <w:top w:val="none" w:sz="0" w:space="0" w:color="auto"/>
                <w:left w:val="none" w:sz="0" w:space="0" w:color="auto"/>
                <w:bottom w:val="none" w:sz="0" w:space="0" w:color="auto"/>
                <w:right w:val="none" w:sz="0" w:space="0" w:color="auto"/>
              </w:divBdr>
              <w:divsChild>
                <w:div w:id="1254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5322">
      <w:bodyDiv w:val="1"/>
      <w:marLeft w:val="0"/>
      <w:marRight w:val="0"/>
      <w:marTop w:val="206"/>
      <w:marBottom w:val="206"/>
      <w:divBdr>
        <w:top w:val="none" w:sz="0" w:space="0" w:color="auto"/>
        <w:left w:val="none" w:sz="0" w:space="0" w:color="auto"/>
        <w:bottom w:val="none" w:sz="0" w:space="0" w:color="auto"/>
        <w:right w:val="none" w:sz="0" w:space="0" w:color="auto"/>
      </w:divBdr>
      <w:divsChild>
        <w:div w:id="737828421">
          <w:marLeft w:val="0"/>
          <w:marRight w:val="0"/>
          <w:marTop w:val="0"/>
          <w:marBottom w:val="0"/>
          <w:divBdr>
            <w:top w:val="none" w:sz="0" w:space="0" w:color="auto"/>
            <w:left w:val="none" w:sz="0" w:space="0" w:color="auto"/>
            <w:bottom w:val="none" w:sz="0" w:space="0" w:color="auto"/>
            <w:right w:val="none" w:sz="0" w:space="0" w:color="auto"/>
          </w:divBdr>
        </w:div>
      </w:divsChild>
    </w:div>
    <w:div w:id="1340888236">
      <w:bodyDiv w:val="1"/>
      <w:marLeft w:val="0"/>
      <w:marRight w:val="0"/>
      <w:marTop w:val="0"/>
      <w:marBottom w:val="7"/>
      <w:divBdr>
        <w:top w:val="none" w:sz="0" w:space="0" w:color="auto"/>
        <w:left w:val="none" w:sz="0" w:space="0" w:color="auto"/>
        <w:bottom w:val="none" w:sz="0" w:space="0" w:color="auto"/>
        <w:right w:val="none" w:sz="0" w:space="0" w:color="auto"/>
      </w:divBdr>
      <w:divsChild>
        <w:div w:id="25647476">
          <w:marLeft w:val="34"/>
          <w:marRight w:val="34"/>
          <w:marTop w:val="0"/>
          <w:marBottom w:val="0"/>
          <w:divBdr>
            <w:top w:val="none" w:sz="0" w:space="0" w:color="auto"/>
            <w:left w:val="none" w:sz="0" w:space="0" w:color="auto"/>
            <w:bottom w:val="none" w:sz="0" w:space="0" w:color="auto"/>
            <w:right w:val="none" w:sz="0" w:space="0" w:color="auto"/>
          </w:divBdr>
          <w:divsChild>
            <w:div w:id="1948198231">
              <w:marLeft w:val="0"/>
              <w:marRight w:val="0"/>
              <w:marTop w:val="0"/>
              <w:marBottom w:val="0"/>
              <w:divBdr>
                <w:top w:val="none" w:sz="0" w:space="0" w:color="auto"/>
                <w:left w:val="none" w:sz="0" w:space="0" w:color="auto"/>
                <w:bottom w:val="none" w:sz="0" w:space="0" w:color="auto"/>
                <w:right w:val="none" w:sz="0" w:space="0" w:color="auto"/>
              </w:divBdr>
              <w:divsChild>
                <w:div w:id="1813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cme2012.org/" TargetMode="External"/><Relationship Id="rId5" Type="http://schemas.openxmlformats.org/officeDocument/2006/relationships/webSettings" Target="webSettings.xml"/><Relationship Id="rId10" Type="http://schemas.openxmlformats.org/officeDocument/2006/relationships/hyperlink" Target="mailto:icme2012@icme2012.org" TargetMode="External"/><Relationship Id="rId4" Type="http://schemas.openxmlformats.org/officeDocument/2006/relationships/settings" Target="settings.xml"/><Relationship Id="rId9" Type="http://schemas.openxmlformats.org/officeDocument/2006/relationships/hyperlink" Target="http://www.icme201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Yen-Kuang Chen</dc:creator>
  <cp:lastModifiedBy>wuq</cp:lastModifiedBy>
  <cp:revision>5</cp:revision>
  <dcterms:created xsi:type="dcterms:W3CDTF">2011-08-16T02:40:00Z</dcterms:created>
  <dcterms:modified xsi:type="dcterms:W3CDTF">2011-10-15T13:00:00Z</dcterms:modified>
</cp:coreProperties>
</file>