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5284B" w14:textId="77777777" w:rsidR="00991219" w:rsidRDefault="00000000">
      <w:pPr>
        <w:widowControl w:val="0"/>
        <w:jc w:val="center"/>
        <w:rPr>
          <w:b/>
          <w:smallCaps/>
          <w:sz w:val="48"/>
          <w:szCs w:val="48"/>
        </w:rPr>
      </w:pPr>
      <w:r>
        <w:rPr>
          <w:b/>
          <w:smallCaps/>
          <w:sz w:val="48"/>
          <w:szCs w:val="48"/>
        </w:rPr>
        <w:t>The 22</w:t>
      </w:r>
      <w:r>
        <w:rPr>
          <w:b/>
          <w:smallCaps/>
          <w:sz w:val="40"/>
          <w:szCs w:val="40"/>
          <w:vertAlign w:val="superscript"/>
        </w:rPr>
        <w:t>ND</w:t>
      </w:r>
      <w:r>
        <w:rPr>
          <w:b/>
          <w:smallCaps/>
          <w:sz w:val="48"/>
          <w:szCs w:val="48"/>
        </w:rPr>
        <w:t xml:space="preserve"> IEEE International Conference on Industrial I</w:t>
      </w:r>
      <w:r>
        <w:rPr>
          <w:b/>
          <w:smallCaps/>
          <w:sz w:val="40"/>
          <w:szCs w:val="40"/>
        </w:rPr>
        <w:t>NFORMATICS</w:t>
      </w:r>
      <w:r>
        <w:rPr>
          <w:b/>
          <w:smallCaps/>
          <w:sz w:val="48"/>
          <w:szCs w:val="48"/>
        </w:rPr>
        <w:t xml:space="preserve"> (indin)</w:t>
      </w:r>
    </w:p>
    <w:p w14:paraId="1C27BA10" w14:textId="77777777" w:rsidR="00991219" w:rsidRDefault="00000000">
      <w:pPr>
        <w:widowControl w:val="0"/>
        <w:jc w:val="center"/>
        <w:rPr>
          <w:b/>
          <w:smallCaps/>
          <w:sz w:val="52"/>
          <w:szCs w:val="52"/>
        </w:rPr>
      </w:pPr>
      <w:r>
        <w:rPr>
          <w:b/>
          <w:smallCaps/>
          <w:sz w:val="52"/>
          <w:szCs w:val="52"/>
        </w:rPr>
        <w:t>INDIN 2024</w:t>
      </w:r>
    </w:p>
    <w:p w14:paraId="3B19B22F" w14:textId="77777777" w:rsidR="00991219" w:rsidRDefault="00000000">
      <w:pPr>
        <w:widowControl w:val="0"/>
        <w:jc w:val="center"/>
        <w:rPr>
          <w:sz w:val="28"/>
          <w:szCs w:val="28"/>
        </w:rPr>
      </w:pPr>
      <w:r>
        <w:rPr>
          <w:b/>
          <w:smallCaps/>
          <w:sz w:val="28"/>
          <w:szCs w:val="28"/>
        </w:rPr>
        <w:t>A</w:t>
      </w:r>
      <w:r>
        <w:rPr>
          <w:b/>
          <w:smallCaps/>
        </w:rPr>
        <w:t>UGUST</w:t>
      </w:r>
      <w:r>
        <w:rPr>
          <w:b/>
          <w:smallCaps/>
          <w:sz w:val="28"/>
          <w:szCs w:val="28"/>
        </w:rPr>
        <w:t xml:space="preserve"> 17-20, 2024, BeiJing, BJ, China</w:t>
      </w:r>
    </w:p>
    <w:p w14:paraId="63D57BA8" w14:textId="77777777" w:rsidR="00991219" w:rsidRDefault="00991219">
      <w:pPr>
        <w:pBdr>
          <w:top w:val="nil"/>
          <w:left w:val="nil"/>
          <w:bottom w:val="nil"/>
          <w:right w:val="nil"/>
          <w:between w:val="nil"/>
        </w:pBdr>
        <w:jc w:val="center"/>
        <w:rPr>
          <w:b/>
          <w:color w:val="000000"/>
          <w:sz w:val="28"/>
          <w:szCs w:val="28"/>
        </w:rPr>
      </w:pPr>
    </w:p>
    <w:p w14:paraId="0FF5B9EB" w14:textId="77777777" w:rsidR="00991219" w:rsidRDefault="00000000">
      <w:pPr>
        <w:pBdr>
          <w:top w:val="nil"/>
          <w:left w:val="nil"/>
          <w:bottom w:val="nil"/>
          <w:right w:val="nil"/>
          <w:between w:val="nil"/>
        </w:pBdr>
        <w:jc w:val="center"/>
        <w:rPr>
          <w:b/>
          <w:color w:val="000000"/>
          <w:sz w:val="28"/>
          <w:szCs w:val="28"/>
        </w:rPr>
      </w:pPr>
      <w:r>
        <w:rPr>
          <w:b/>
          <w:color w:val="000000"/>
          <w:sz w:val="28"/>
          <w:szCs w:val="28"/>
        </w:rPr>
        <w:t>Special Session on</w:t>
      </w:r>
    </w:p>
    <w:p w14:paraId="60EA36B3" w14:textId="77777777" w:rsidR="00991219" w:rsidRDefault="00991219">
      <w:pPr>
        <w:jc w:val="center"/>
        <w:rPr>
          <w:b/>
          <w:sz w:val="23"/>
          <w:szCs w:val="23"/>
        </w:rPr>
      </w:pPr>
    </w:p>
    <w:p w14:paraId="14415210" w14:textId="77777777" w:rsidR="00991219" w:rsidRDefault="00000000">
      <w:pPr>
        <w:jc w:val="center"/>
        <w:rPr>
          <w:sz w:val="36"/>
          <w:szCs w:val="36"/>
        </w:rPr>
      </w:pPr>
      <w:r>
        <w:rPr>
          <w:b/>
          <w:sz w:val="36"/>
          <w:szCs w:val="36"/>
        </w:rPr>
        <w:t>Recent Trends in Cyber Physical Systems and Industrial Automation</w:t>
      </w:r>
    </w:p>
    <w:p w14:paraId="28F5EBE8" w14:textId="77777777" w:rsidR="00991219" w:rsidRDefault="00991219">
      <w:pPr>
        <w:rPr>
          <w:sz w:val="23"/>
          <w:szCs w:val="23"/>
        </w:rPr>
      </w:pPr>
    </w:p>
    <w:p w14:paraId="7D67F0AE" w14:textId="77777777" w:rsidR="00991219" w:rsidRDefault="00000000">
      <w:pPr>
        <w:jc w:val="both"/>
        <w:rPr>
          <w:sz w:val="28"/>
          <w:szCs w:val="28"/>
        </w:rPr>
      </w:pPr>
      <w:r>
        <w:rPr>
          <w:b/>
          <w:sz w:val="28"/>
          <w:szCs w:val="28"/>
        </w:rPr>
        <w:t>Theme</w:t>
      </w:r>
      <w:r>
        <w:rPr>
          <w:sz w:val="28"/>
          <w:szCs w:val="28"/>
        </w:rPr>
        <w:t>: C</w:t>
      </w:r>
      <w:r>
        <w:t>yber-physical systems (CPS) and industrial automation have introduced a massive transformation in the landscape of modern day technology development. From smart healthcare to automotive industry, from energy sector to agricultural automation, CPS has played a significant role in overall system improvement and increasing efficiency. With the integration of edge computing, artificial intelligence, and 5G connectivity, there is a notable push towards enhanced real-time processing, data analytics, and connectivity in industrial settings. The emergence of digital twins, increased focus on cybersecurity, and the adoption of robotic process automation further intensified the dynamic evolution of these technologies. This special session dedicated to CPS and industrial automation will provide a platform for experts, researchers, and industry professionals to exchange insights, share cutting-edge developments, and address the challenges associated with this rapidly evolving field. This will help in building collaboration, and facilitate the exploration of innovative solutions, towards shaping the future of technology developments and industrial processes.</w:t>
      </w:r>
    </w:p>
    <w:p w14:paraId="17893568" w14:textId="77777777" w:rsidR="00991219" w:rsidRDefault="00000000">
      <w:pPr>
        <w:tabs>
          <w:tab w:val="left" w:pos="3900"/>
        </w:tabs>
        <w:rPr>
          <w:sz w:val="28"/>
          <w:szCs w:val="28"/>
        </w:rPr>
      </w:pPr>
      <w:r>
        <w:rPr>
          <w:sz w:val="28"/>
          <w:szCs w:val="28"/>
        </w:rPr>
        <w:tab/>
      </w:r>
    </w:p>
    <w:p w14:paraId="05D2835E" w14:textId="77777777" w:rsidR="00991219" w:rsidRDefault="00000000">
      <w:pPr>
        <w:rPr>
          <w:sz w:val="26"/>
          <w:szCs w:val="26"/>
        </w:rPr>
      </w:pPr>
      <w:r>
        <w:rPr>
          <w:sz w:val="26"/>
          <w:szCs w:val="26"/>
        </w:rPr>
        <w:t>Topics of interest include, but are not limited to:</w:t>
      </w:r>
    </w:p>
    <w:p w14:paraId="7806638B" w14:textId="77777777" w:rsidR="00991219" w:rsidRDefault="00991219">
      <w:pPr>
        <w:rPr>
          <w:sz w:val="26"/>
          <w:szCs w:val="26"/>
        </w:rPr>
      </w:pPr>
    </w:p>
    <w:p w14:paraId="2825C6C1" w14:textId="77777777" w:rsidR="00991219" w:rsidRDefault="00000000">
      <w:pPr>
        <w:numPr>
          <w:ilvl w:val="0"/>
          <w:numId w:val="2"/>
        </w:numPr>
        <w:pBdr>
          <w:top w:val="nil"/>
          <w:left w:val="nil"/>
          <w:bottom w:val="nil"/>
          <w:right w:val="nil"/>
          <w:between w:val="nil"/>
        </w:pBdr>
        <w:rPr>
          <w:color w:val="000000"/>
          <w:sz w:val="26"/>
          <w:szCs w:val="26"/>
        </w:rPr>
      </w:pPr>
      <w:r>
        <w:rPr>
          <w:color w:val="000000"/>
          <w:sz w:val="26"/>
          <w:szCs w:val="26"/>
        </w:rPr>
        <w:t>AI and ML in Cyber Physical Systems and Industrial Automation</w:t>
      </w:r>
    </w:p>
    <w:p w14:paraId="4C46AC4F" w14:textId="77777777" w:rsidR="00991219" w:rsidRDefault="00000000">
      <w:pPr>
        <w:numPr>
          <w:ilvl w:val="0"/>
          <w:numId w:val="2"/>
        </w:numPr>
        <w:pBdr>
          <w:top w:val="nil"/>
          <w:left w:val="nil"/>
          <w:bottom w:val="nil"/>
          <w:right w:val="nil"/>
          <w:between w:val="nil"/>
        </w:pBdr>
        <w:rPr>
          <w:color w:val="000000"/>
          <w:sz w:val="26"/>
          <w:szCs w:val="26"/>
        </w:rPr>
      </w:pPr>
      <w:r>
        <w:rPr>
          <w:color w:val="000000"/>
          <w:sz w:val="26"/>
          <w:szCs w:val="26"/>
        </w:rPr>
        <w:t>Scheduling in Cyber Physical Systems and Industrial Automation</w:t>
      </w:r>
    </w:p>
    <w:p w14:paraId="4E4D3681" w14:textId="77777777" w:rsidR="00991219" w:rsidRDefault="00000000">
      <w:pPr>
        <w:numPr>
          <w:ilvl w:val="0"/>
          <w:numId w:val="2"/>
        </w:numPr>
        <w:pBdr>
          <w:top w:val="nil"/>
          <w:left w:val="nil"/>
          <w:bottom w:val="nil"/>
          <w:right w:val="nil"/>
          <w:between w:val="nil"/>
        </w:pBdr>
        <w:rPr>
          <w:color w:val="000000"/>
          <w:sz w:val="26"/>
          <w:szCs w:val="26"/>
        </w:rPr>
      </w:pPr>
      <w:r>
        <w:rPr>
          <w:color w:val="000000"/>
          <w:sz w:val="26"/>
          <w:szCs w:val="26"/>
        </w:rPr>
        <w:t>Scheduling Industrial Processes</w:t>
      </w:r>
    </w:p>
    <w:p w14:paraId="0330CA9C" w14:textId="77777777" w:rsidR="00991219" w:rsidRDefault="00000000">
      <w:pPr>
        <w:numPr>
          <w:ilvl w:val="0"/>
          <w:numId w:val="2"/>
        </w:numPr>
        <w:pBdr>
          <w:top w:val="nil"/>
          <w:left w:val="nil"/>
          <w:bottom w:val="nil"/>
          <w:right w:val="nil"/>
          <w:between w:val="nil"/>
        </w:pBdr>
        <w:rPr>
          <w:color w:val="000000"/>
          <w:sz w:val="26"/>
          <w:szCs w:val="26"/>
        </w:rPr>
      </w:pPr>
      <w:r>
        <w:rPr>
          <w:color w:val="000000"/>
          <w:sz w:val="26"/>
          <w:szCs w:val="26"/>
        </w:rPr>
        <w:t>Industrial Process Automation</w:t>
      </w:r>
    </w:p>
    <w:p w14:paraId="01D96AB0" w14:textId="77777777" w:rsidR="00991219" w:rsidRDefault="00000000">
      <w:pPr>
        <w:numPr>
          <w:ilvl w:val="0"/>
          <w:numId w:val="2"/>
        </w:numPr>
        <w:pBdr>
          <w:top w:val="nil"/>
          <w:left w:val="nil"/>
          <w:bottom w:val="nil"/>
          <w:right w:val="nil"/>
          <w:between w:val="nil"/>
        </w:pBdr>
        <w:rPr>
          <w:color w:val="000000"/>
          <w:sz w:val="26"/>
          <w:szCs w:val="26"/>
        </w:rPr>
      </w:pPr>
      <w:r>
        <w:rPr>
          <w:color w:val="000000"/>
          <w:sz w:val="26"/>
          <w:szCs w:val="26"/>
        </w:rPr>
        <w:t>Industrial Internet of Things</w:t>
      </w:r>
    </w:p>
    <w:p w14:paraId="0CDE9545" w14:textId="77777777" w:rsidR="00991219" w:rsidRDefault="00000000">
      <w:pPr>
        <w:numPr>
          <w:ilvl w:val="0"/>
          <w:numId w:val="2"/>
        </w:numPr>
        <w:pBdr>
          <w:top w:val="nil"/>
          <w:left w:val="nil"/>
          <w:bottom w:val="nil"/>
          <w:right w:val="nil"/>
          <w:between w:val="nil"/>
        </w:pBdr>
        <w:rPr>
          <w:color w:val="000000"/>
          <w:sz w:val="26"/>
          <w:szCs w:val="26"/>
        </w:rPr>
      </w:pPr>
      <w:r>
        <w:rPr>
          <w:color w:val="000000"/>
          <w:sz w:val="26"/>
          <w:szCs w:val="26"/>
        </w:rPr>
        <w:t>Robotics and Automation</w:t>
      </w:r>
    </w:p>
    <w:p w14:paraId="52112C70" w14:textId="77777777" w:rsidR="00991219" w:rsidRDefault="00000000">
      <w:pPr>
        <w:numPr>
          <w:ilvl w:val="0"/>
          <w:numId w:val="2"/>
        </w:numPr>
        <w:pBdr>
          <w:top w:val="nil"/>
          <w:left w:val="nil"/>
          <w:bottom w:val="nil"/>
          <w:right w:val="nil"/>
          <w:between w:val="nil"/>
        </w:pBdr>
        <w:rPr>
          <w:color w:val="000000"/>
          <w:sz w:val="26"/>
          <w:szCs w:val="26"/>
        </w:rPr>
      </w:pPr>
      <w:r>
        <w:rPr>
          <w:color w:val="000000"/>
          <w:sz w:val="26"/>
          <w:szCs w:val="26"/>
        </w:rPr>
        <w:t>Optimization in Cyber Physical Systems and Industrial Automation</w:t>
      </w:r>
    </w:p>
    <w:p w14:paraId="77E295A0" w14:textId="77777777" w:rsidR="00991219" w:rsidRDefault="00000000">
      <w:pPr>
        <w:numPr>
          <w:ilvl w:val="0"/>
          <w:numId w:val="2"/>
        </w:numPr>
        <w:pBdr>
          <w:top w:val="nil"/>
          <w:left w:val="nil"/>
          <w:bottom w:val="nil"/>
          <w:right w:val="nil"/>
          <w:between w:val="nil"/>
        </w:pBdr>
        <w:rPr>
          <w:color w:val="000000"/>
          <w:sz w:val="26"/>
          <w:szCs w:val="26"/>
        </w:rPr>
      </w:pPr>
      <w:r>
        <w:rPr>
          <w:color w:val="000000"/>
          <w:sz w:val="26"/>
          <w:szCs w:val="26"/>
        </w:rPr>
        <w:t>Applications: smart grid, renewable energy, intelligent transportation system and electric vehicles</w:t>
      </w:r>
    </w:p>
    <w:p w14:paraId="4A931A0E" w14:textId="77777777" w:rsidR="00991219" w:rsidRDefault="00000000">
      <w:pPr>
        <w:numPr>
          <w:ilvl w:val="0"/>
          <w:numId w:val="2"/>
        </w:numPr>
        <w:pBdr>
          <w:top w:val="nil"/>
          <w:left w:val="nil"/>
          <w:bottom w:val="nil"/>
          <w:right w:val="nil"/>
          <w:between w:val="nil"/>
        </w:pBdr>
        <w:rPr>
          <w:color w:val="000000"/>
          <w:sz w:val="26"/>
          <w:szCs w:val="26"/>
        </w:rPr>
      </w:pPr>
      <w:r>
        <w:rPr>
          <w:color w:val="000000"/>
          <w:sz w:val="26"/>
          <w:szCs w:val="26"/>
        </w:rPr>
        <w:t>Security and privacy measures in Cyber Physical Systems</w:t>
      </w:r>
    </w:p>
    <w:p w14:paraId="085B598A" w14:textId="77777777" w:rsidR="00991219" w:rsidRDefault="00991219">
      <w:pPr>
        <w:ind w:left="357"/>
        <w:rPr>
          <w:sz w:val="28"/>
          <w:szCs w:val="28"/>
        </w:rPr>
      </w:pPr>
    </w:p>
    <w:p w14:paraId="3386BD6E" w14:textId="77777777" w:rsidR="00991219" w:rsidRDefault="00000000">
      <w:pPr>
        <w:rPr>
          <w:sz w:val="28"/>
          <w:szCs w:val="28"/>
        </w:rPr>
      </w:pPr>
      <w:r>
        <w:rPr>
          <w:sz w:val="28"/>
          <w:szCs w:val="28"/>
        </w:rPr>
        <w:t xml:space="preserve">Organizers: </w:t>
      </w:r>
      <w:r>
        <w:rPr>
          <w:sz w:val="28"/>
          <w:szCs w:val="28"/>
        </w:rPr>
        <w:br/>
      </w:r>
    </w:p>
    <w:p w14:paraId="531DE493" w14:textId="77777777" w:rsidR="00991219" w:rsidRDefault="00000000">
      <w:pPr>
        <w:numPr>
          <w:ilvl w:val="0"/>
          <w:numId w:val="1"/>
        </w:numPr>
        <w:tabs>
          <w:tab w:val="left" w:pos="5760"/>
        </w:tabs>
        <w:jc w:val="both"/>
        <w:rPr>
          <w:sz w:val="22"/>
          <w:szCs w:val="22"/>
        </w:rPr>
      </w:pPr>
      <w:r>
        <w:rPr>
          <w:sz w:val="22"/>
          <w:szCs w:val="22"/>
        </w:rPr>
        <w:t xml:space="preserve">Dr. Pranay Kumar Saha, Indian Institute of Technology (IIT) – ISM Dhanbad, India Email: </w:t>
      </w:r>
      <w:hyperlink r:id="rId8">
        <w:r>
          <w:rPr>
            <w:color w:val="0000FF"/>
            <w:sz w:val="22"/>
            <w:szCs w:val="22"/>
            <w:u w:val="single"/>
          </w:rPr>
          <w:t>pranay@iitism.ac.in</w:t>
        </w:r>
      </w:hyperlink>
      <w:r>
        <w:rPr>
          <w:sz w:val="22"/>
          <w:szCs w:val="22"/>
        </w:rPr>
        <w:t xml:space="preserve">, </w:t>
      </w:r>
      <w:hyperlink r:id="rId9">
        <w:r>
          <w:rPr>
            <w:color w:val="1155CC"/>
            <w:sz w:val="22"/>
            <w:szCs w:val="22"/>
            <w:u w:val="single"/>
          </w:rPr>
          <w:t>https://cse.iitism.ac.in/cse_faculty_details</w:t>
        </w:r>
      </w:hyperlink>
      <w:r>
        <w:rPr>
          <w:sz w:val="22"/>
          <w:szCs w:val="22"/>
        </w:rPr>
        <w:t xml:space="preserve"> </w:t>
      </w:r>
    </w:p>
    <w:p w14:paraId="3CD6BD69" w14:textId="77777777" w:rsidR="00991219" w:rsidRDefault="00000000">
      <w:pPr>
        <w:numPr>
          <w:ilvl w:val="0"/>
          <w:numId w:val="1"/>
        </w:numPr>
        <w:tabs>
          <w:tab w:val="left" w:pos="5760"/>
        </w:tabs>
        <w:jc w:val="both"/>
        <w:rPr>
          <w:sz w:val="22"/>
          <w:szCs w:val="22"/>
        </w:rPr>
      </w:pPr>
      <w:r>
        <w:rPr>
          <w:sz w:val="22"/>
          <w:szCs w:val="22"/>
        </w:rPr>
        <w:t xml:space="preserve">Dr. Nilotpal Chakraborty, Indian Institute of Information Technology (IIIT) Guwahati, India,  Email: </w:t>
      </w:r>
      <w:hyperlink r:id="rId10">
        <w:r>
          <w:rPr>
            <w:color w:val="0000FF"/>
            <w:sz w:val="22"/>
            <w:szCs w:val="22"/>
            <w:u w:val="single"/>
          </w:rPr>
          <w:t>nilotpal@iiitg.ac.in</w:t>
        </w:r>
      </w:hyperlink>
      <w:r>
        <w:rPr>
          <w:sz w:val="28"/>
          <w:szCs w:val="28"/>
        </w:rPr>
        <w:t xml:space="preserve">, </w:t>
      </w:r>
      <w:hyperlink r:id="rId11">
        <w:r>
          <w:rPr>
            <w:color w:val="1155CC"/>
            <w:sz w:val="20"/>
            <w:szCs w:val="20"/>
            <w:u w:val="single"/>
          </w:rPr>
          <w:t>https://www.iiitg.ac.in/computer-science-and-engineering/dr-nilotpal-chakraborty</w:t>
        </w:r>
      </w:hyperlink>
      <w:r>
        <w:rPr>
          <w:sz w:val="20"/>
          <w:szCs w:val="20"/>
        </w:rPr>
        <w:t xml:space="preserve"> </w:t>
      </w:r>
    </w:p>
    <w:sectPr w:rsidR="00991219">
      <w:headerReference w:type="default" r:id="rId12"/>
      <w:footerReference w:type="default" r:id="rId13"/>
      <w:pgSz w:w="11906" w:h="16838"/>
      <w:pgMar w:top="851" w:right="1134" w:bottom="851" w:left="1134" w:header="397" w:footer="42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3EE4B" w14:textId="77777777" w:rsidR="00036916" w:rsidRDefault="00036916">
      <w:r>
        <w:separator/>
      </w:r>
    </w:p>
  </w:endnote>
  <w:endnote w:type="continuationSeparator" w:id="0">
    <w:p w14:paraId="1AE31B86" w14:textId="77777777" w:rsidR="00036916" w:rsidRDefault="000369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181D5" w14:textId="77777777" w:rsidR="00991219" w:rsidRDefault="00991219">
    <w:pPr>
      <w:widowControl w:val="0"/>
      <w:pBdr>
        <w:top w:val="nil"/>
        <w:left w:val="nil"/>
        <w:bottom w:val="nil"/>
        <w:right w:val="nil"/>
        <w:between w:val="nil"/>
      </w:pBdr>
      <w:spacing w:line="276" w:lineRule="auto"/>
      <w:rPr>
        <w:color w:val="000000"/>
        <w:sz w:val="12"/>
        <w:szCs w:val="12"/>
      </w:rPr>
    </w:pPr>
  </w:p>
  <w:tbl>
    <w:tblPr>
      <w:tblStyle w:val="a6"/>
      <w:tblW w:w="9638" w:type="dxa"/>
      <w:tblInd w:w="0" w:type="dxa"/>
      <w:tblLayout w:type="fixed"/>
      <w:tblLook w:val="0400" w:firstRow="0" w:lastRow="0" w:firstColumn="0" w:lastColumn="0" w:noHBand="0" w:noVBand="1"/>
    </w:tblPr>
    <w:tblGrid>
      <w:gridCol w:w="964"/>
      <w:gridCol w:w="8674"/>
    </w:tblGrid>
    <w:tr w:rsidR="00991219" w14:paraId="41A9F3B8" w14:textId="77777777">
      <w:tc>
        <w:tcPr>
          <w:tcW w:w="964" w:type="dxa"/>
          <w:tcBorders>
            <w:top w:val="single" w:sz="4" w:space="0" w:color="943634"/>
          </w:tcBorders>
          <w:shd w:val="clear" w:color="auto" w:fill="943634"/>
        </w:tcPr>
        <w:p w14:paraId="3D0EA19E" w14:textId="77777777" w:rsidR="00991219" w:rsidRDefault="00000000">
          <w:pPr>
            <w:pBdr>
              <w:top w:val="nil"/>
              <w:left w:val="nil"/>
              <w:bottom w:val="nil"/>
              <w:right w:val="nil"/>
              <w:between w:val="nil"/>
            </w:pBdr>
            <w:ind w:right="60"/>
            <w:jc w:val="right"/>
            <w:rPr>
              <w:b/>
              <w:color w:val="FFFFFF"/>
              <w:sz w:val="12"/>
              <w:szCs w:val="12"/>
            </w:rPr>
          </w:pPr>
          <w:r>
            <w:rPr>
              <w:color w:val="000000"/>
              <w:sz w:val="12"/>
              <w:szCs w:val="12"/>
            </w:rPr>
            <w:fldChar w:fldCharType="begin"/>
          </w:r>
          <w:r>
            <w:rPr>
              <w:rFonts w:eastAsia="Times New Roman"/>
              <w:color w:val="000000"/>
              <w:sz w:val="12"/>
              <w:szCs w:val="12"/>
            </w:rPr>
            <w:instrText>PAGE</w:instrText>
          </w:r>
          <w:r>
            <w:rPr>
              <w:color w:val="000000"/>
              <w:sz w:val="12"/>
              <w:szCs w:val="12"/>
            </w:rPr>
            <w:fldChar w:fldCharType="separate"/>
          </w:r>
          <w:r w:rsidR="0030718B">
            <w:rPr>
              <w:rFonts w:eastAsia="Times New Roman"/>
              <w:noProof/>
              <w:color w:val="000000"/>
              <w:sz w:val="12"/>
              <w:szCs w:val="12"/>
            </w:rPr>
            <w:t>1</w:t>
          </w:r>
          <w:r>
            <w:rPr>
              <w:color w:val="000000"/>
              <w:sz w:val="12"/>
              <w:szCs w:val="12"/>
            </w:rPr>
            <w:fldChar w:fldCharType="end"/>
          </w:r>
        </w:p>
      </w:tc>
      <w:tc>
        <w:tcPr>
          <w:tcW w:w="8674" w:type="dxa"/>
          <w:tcBorders>
            <w:top w:val="single" w:sz="4" w:space="0" w:color="000000"/>
          </w:tcBorders>
        </w:tcPr>
        <w:p w14:paraId="755B110C" w14:textId="77777777" w:rsidR="00991219" w:rsidRDefault="00000000">
          <w:pPr>
            <w:widowControl w:val="0"/>
            <w:spacing w:after="40"/>
            <w:rPr>
              <w:b/>
              <w:sz w:val="22"/>
              <w:szCs w:val="22"/>
            </w:rPr>
          </w:pPr>
          <w:r>
            <w:rPr>
              <w:b/>
              <w:color w:val="002060"/>
              <w:sz w:val="22"/>
              <w:szCs w:val="22"/>
            </w:rPr>
            <w:t xml:space="preserve">Accepted papers will be published in an IEEE proceedings volume and will be also submitted for the International Publication in </w:t>
          </w:r>
          <w:r>
            <w:rPr>
              <w:b/>
              <w:i/>
              <w:color w:val="002060"/>
              <w:sz w:val="22"/>
              <w:szCs w:val="22"/>
            </w:rPr>
            <w:t>IEEE xplore</w:t>
          </w:r>
        </w:p>
      </w:tc>
    </w:tr>
  </w:tbl>
  <w:p w14:paraId="2FF7A526" w14:textId="77777777" w:rsidR="00991219" w:rsidRDefault="00991219">
    <w:pPr>
      <w:pBdr>
        <w:top w:val="nil"/>
        <w:left w:val="nil"/>
        <w:bottom w:val="nil"/>
        <w:right w:val="nil"/>
        <w:between w:val="nil"/>
      </w:pBdr>
      <w:rPr>
        <w:color w:val="000000"/>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1FE3C" w14:textId="77777777" w:rsidR="00036916" w:rsidRDefault="00036916">
      <w:r>
        <w:separator/>
      </w:r>
    </w:p>
  </w:footnote>
  <w:footnote w:type="continuationSeparator" w:id="0">
    <w:p w14:paraId="3C93D988" w14:textId="77777777" w:rsidR="00036916" w:rsidRDefault="000369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46045" w14:textId="77777777" w:rsidR="00991219" w:rsidRDefault="00991219">
    <w:pPr>
      <w:widowControl w:val="0"/>
      <w:pBdr>
        <w:top w:val="nil"/>
        <w:left w:val="nil"/>
        <w:bottom w:val="nil"/>
        <w:right w:val="nil"/>
        <w:between w:val="nil"/>
      </w:pBdr>
      <w:spacing w:line="276" w:lineRule="auto"/>
      <w:rPr>
        <w:sz w:val="28"/>
        <w:szCs w:val="28"/>
      </w:rPr>
    </w:pPr>
  </w:p>
  <w:tbl>
    <w:tblPr>
      <w:tblStyle w:val="a5"/>
      <w:tblW w:w="9638" w:type="dxa"/>
      <w:tblInd w:w="0" w:type="dxa"/>
      <w:tblLayout w:type="fixed"/>
      <w:tblLook w:val="0000" w:firstRow="0" w:lastRow="0" w:firstColumn="0" w:lastColumn="0" w:noHBand="0" w:noVBand="0"/>
    </w:tblPr>
    <w:tblGrid>
      <w:gridCol w:w="4786"/>
      <w:gridCol w:w="4852"/>
    </w:tblGrid>
    <w:tr w:rsidR="00991219" w14:paraId="3A5B886F" w14:textId="77777777">
      <w:tc>
        <w:tcPr>
          <w:tcW w:w="4786" w:type="dxa"/>
          <w:shd w:val="clear" w:color="auto" w:fill="auto"/>
        </w:tcPr>
        <w:p w14:paraId="791E0A75" w14:textId="77777777" w:rsidR="00991219" w:rsidRDefault="00991219">
          <w:pPr>
            <w:pBdr>
              <w:top w:val="nil"/>
              <w:left w:val="nil"/>
              <w:bottom w:val="nil"/>
              <w:right w:val="nil"/>
              <w:between w:val="nil"/>
            </w:pBdr>
            <w:rPr>
              <w:color w:val="000000"/>
              <w:sz w:val="12"/>
              <w:szCs w:val="12"/>
            </w:rPr>
          </w:pPr>
        </w:p>
      </w:tc>
      <w:tc>
        <w:tcPr>
          <w:tcW w:w="4852" w:type="dxa"/>
          <w:shd w:val="clear" w:color="auto" w:fill="auto"/>
        </w:tcPr>
        <w:p w14:paraId="10843114" w14:textId="77777777" w:rsidR="00991219" w:rsidRDefault="00000000">
          <w:pPr>
            <w:pBdr>
              <w:top w:val="nil"/>
              <w:left w:val="nil"/>
              <w:bottom w:val="nil"/>
              <w:right w:val="nil"/>
              <w:between w:val="nil"/>
            </w:pBdr>
            <w:jc w:val="right"/>
            <w:rPr>
              <w:color w:val="000000"/>
              <w:sz w:val="12"/>
              <w:szCs w:val="12"/>
            </w:rPr>
          </w:pPr>
          <w:r>
            <w:rPr>
              <w:rFonts w:eastAsia="Times New Roman"/>
              <w:color w:val="000000"/>
              <w:sz w:val="12"/>
              <w:szCs w:val="12"/>
            </w:rPr>
            <w:t xml:space="preserve">  </w:t>
          </w:r>
          <w:r>
            <w:rPr>
              <w:noProof/>
              <w:color w:val="000000"/>
              <w:sz w:val="12"/>
              <w:szCs w:val="12"/>
            </w:rPr>
            <w:drawing>
              <wp:inline distT="0" distB="0" distL="0" distR="0" wp14:anchorId="17CCAEAF" wp14:editId="225633FC">
                <wp:extent cx="1473490" cy="46468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73490" cy="464686"/>
                        </a:xfrm>
                        <a:prstGeom prst="rect">
                          <a:avLst/>
                        </a:prstGeom>
                        <a:ln/>
                      </pic:spPr>
                    </pic:pic>
                  </a:graphicData>
                </a:graphic>
              </wp:inline>
            </w:drawing>
          </w:r>
          <w:r>
            <w:rPr>
              <w:rFonts w:eastAsia="Times New Roman"/>
              <w:color w:val="000000"/>
              <w:sz w:val="12"/>
              <w:szCs w:val="12"/>
            </w:rPr>
            <w:t xml:space="preserve">        </w:t>
          </w:r>
          <w:r>
            <w:rPr>
              <w:noProof/>
              <w:color w:val="000000"/>
              <w:sz w:val="12"/>
              <w:szCs w:val="12"/>
            </w:rPr>
            <w:drawing>
              <wp:inline distT="0" distB="0" distL="0" distR="0" wp14:anchorId="60151E2A" wp14:editId="2533265F">
                <wp:extent cx="743673" cy="517361"/>
                <wp:effectExtent l="0" t="0" r="0" b="0"/>
                <wp:docPr id="2" name="image2.gif"/>
                <wp:cNvGraphicFramePr/>
                <a:graphic xmlns:a="http://schemas.openxmlformats.org/drawingml/2006/main">
                  <a:graphicData uri="http://schemas.openxmlformats.org/drawingml/2006/picture">
                    <pic:pic xmlns:pic="http://schemas.openxmlformats.org/drawingml/2006/picture">
                      <pic:nvPicPr>
                        <pic:cNvPr id="0" name="image2.gif"/>
                        <pic:cNvPicPr preferRelativeResize="0"/>
                      </pic:nvPicPr>
                      <pic:blipFill>
                        <a:blip r:embed="rId2"/>
                        <a:srcRect/>
                        <a:stretch>
                          <a:fillRect/>
                        </a:stretch>
                      </pic:blipFill>
                      <pic:spPr>
                        <a:xfrm>
                          <a:off x="0" y="0"/>
                          <a:ext cx="743673" cy="517361"/>
                        </a:xfrm>
                        <a:prstGeom prst="rect">
                          <a:avLst/>
                        </a:prstGeom>
                        <a:ln/>
                      </pic:spPr>
                    </pic:pic>
                  </a:graphicData>
                </a:graphic>
              </wp:inline>
            </w:drawing>
          </w:r>
          <w:r>
            <w:rPr>
              <w:rFonts w:eastAsia="Times New Roman"/>
              <w:color w:val="000000"/>
              <w:sz w:val="12"/>
              <w:szCs w:val="12"/>
            </w:rPr>
            <w:t xml:space="preserve">              </w:t>
          </w:r>
        </w:p>
      </w:tc>
    </w:tr>
  </w:tbl>
  <w:p w14:paraId="648DDEB1" w14:textId="77777777" w:rsidR="00991219" w:rsidRDefault="00991219">
    <w:pPr>
      <w:pBdr>
        <w:top w:val="nil"/>
        <w:left w:val="nil"/>
        <w:bottom w:val="nil"/>
        <w:right w:val="nil"/>
        <w:between w:val="nil"/>
      </w:pBdr>
      <w:rPr>
        <w:color w:val="000000"/>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D1A38"/>
    <w:multiLevelType w:val="multilevel"/>
    <w:tmpl w:val="F3B2B5C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1FFB1FFF"/>
    <w:multiLevelType w:val="multilevel"/>
    <w:tmpl w:val="6DFE20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24947898">
    <w:abstractNumId w:val="1"/>
  </w:num>
  <w:num w:numId="2" w16cid:durableId="487554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219"/>
    <w:rsid w:val="00036916"/>
    <w:rsid w:val="0030718B"/>
    <w:rsid w:val="009912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DF48B4"/>
  <w15:docId w15:val="{50BC06B3-745B-49D3-845F-71ADBCBC8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spacing w:before="240" w:after="60"/>
      <w:outlineLvl w:val="0"/>
    </w:pPr>
    <w:rPr>
      <w:b/>
      <w:sz w:val="32"/>
      <w:szCs w:val="32"/>
    </w:rPr>
  </w:style>
  <w:style w:type="paragraph" w:styleId="2">
    <w:name w:val="heading 2"/>
    <w:basedOn w:val="a"/>
    <w:next w:val="a"/>
    <w:uiPriority w:val="9"/>
    <w:semiHidden/>
    <w:unhideWhenUsed/>
    <w:qFormat/>
    <w:pPr>
      <w:keepNext/>
      <w:spacing w:before="240" w:after="60"/>
      <w:outlineLvl w:val="1"/>
    </w:pPr>
    <w:rPr>
      <w:b/>
      <w:sz w:val="28"/>
      <w:szCs w:val="28"/>
    </w:rPr>
  </w:style>
  <w:style w:type="paragraph" w:styleId="3">
    <w:name w:val="heading 3"/>
    <w:basedOn w:val="a"/>
    <w:next w:val="a"/>
    <w:uiPriority w:val="9"/>
    <w:semiHidden/>
    <w:unhideWhenUsed/>
    <w:qFormat/>
    <w:pPr>
      <w:keepNext/>
      <w:spacing w:before="240" w:after="60"/>
      <w:outlineLvl w:val="2"/>
    </w:pPr>
    <w:rPr>
      <w:b/>
      <w:sz w:val="26"/>
      <w:szCs w:val="26"/>
    </w:rPr>
  </w:style>
  <w:style w:type="paragraph" w:styleId="4">
    <w:name w:val="heading 4"/>
    <w:basedOn w:val="a"/>
    <w:next w:val="a"/>
    <w:uiPriority w:val="9"/>
    <w:semiHidden/>
    <w:unhideWhenUsed/>
    <w:qFormat/>
    <w:pPr>
      <w:keepNext/>
      <w:spacing w:before="240" w:after="6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115" w:type="dxa"/>
        <w:bottom w:w="0" w:type="dxa"/>
        <w:right w:w="115" w:type="dxa"/>
      </w:tblCellMar>
    </w:tblPr>
  </w:style>
  <w:style w:type="table" w:customStyle="1" w:styleId="a6">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pranay@iitism.ac.i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iitg.ac.in/computer-science-and-engineering/dr-nilotpal-chakrabort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nilotpal@iiitg.ac.in" TargetMode="External"/><Relationship Id="rId4" Type="http://schemas.openxmlformats.org/officeDocument/2006/relationships/settings" Target="settings.xml"/><Relationship Id="rId9" Type="http://schemas.openxmlformats.org/officeDocument/2006/relationships/hyperlink" Target="https://cse.iitism.ac.in/cse_faculty_detail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vZ3afPRgC/dUz2FIpg/0vxyxhQ==">CgMxLjA4AHIhMWMycHJxXzN2cE5WNlFUdmxCVkFFMkFqNzlONGlwMHRy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377</Words>
  <Characters>2151</Characters>
  <Application>Microsoft Office Word</Application>
  <DocSecurity>0</DocSecurity>
  <Lines>17</Lines>
  <Paragraphs>5</Paragraphs>
  <ScaleCrop>false</ScaleCrop>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辰飞</dc:creator>
  <cp:lastModifiedBy>辰飞 侯</cp:lastModifiedBy>
  <cp:revision>2</cp:revision>
  <dcterms:created xsi:type="dcterms:W3CDTF">2024-03-22T04:14:00Z</dcterms:created>
  <dcterms:modified xsi:type="dcterms:W3CDTF">2024-03-22T04:14:00Z</dcterms:modified>
</cp:coreProperties>
</file>