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A0F54" w14:textId="77777777" w:rsidR="004D2790" w:rsidRDefault="004D2790">
      <w:pPr>
        <w:widowControl w:val="0"/>
        <w:jc w:val="center"/>
        <w:rPr>
          <w:b/>
          <w:bCs/>
          <w:smallCaps/>
          <w:kern w:val="24"/>
          <w:sz w:val="48"/>
          <w:szCs w:val="48"/>
          <w:lang w:val="en-US"/>
        </w:rPr>
      </w:pPr>
    </w:p>
    <w:p w14:paraId="6CCAF722" w14:textId="77777777" w:rsidR="004D2790" w:rsidRDefault="00000000">
      <w:pPr>
        <w:widowControl w:val="0"/>
        <w:jc w:val="center"/>
        <w:rPr>
          <w:sz w:val="28"/>
          <w:szCs w:val="28"/>
          <w:lang w:val="en-US" w:eastAsia="zh-CN"/>
        </w:rPr>
      </w:pPr>
      <w:r>
        <w:rPr>
          <w:b/>
          <w:bCs/>
          <w:smallCaps/>
          <w:kern w:val="24"/>
          <w:sz w:val="48"/>
          <w:szCs w:val="48"/>
          <w:lang w:val="en-US"/>
        </w:rPr>
        <w:t>22nd IEEE International Conference on Industrial Informatics (INDIN),</w:t>
      </w:r>
      <w:r>
        <w:rPr>
          <w:rFonts w:hint="eastAsia"/>
          <w:b/>
          <w:bCs/>
          <w:smallCaps/>
          <w:kern w:val="24"/>
          <w:sz w:val="48"/>
          <w:szCs w:val="48"/>
          <w:lang w:val="en-US" w:eastAsia="zh-CN"/>
        </w:rPr>
        <w:t xml:space="preserve"> </w:t>
      </w:r>
      <w:r>
        <w:rPr>
          <w:b/>
          <w:bCs/>
          <w:smallCaps/>
          <w:kern w:val="24"/>
          <w:sz w:val="48"/>
          <w:szCs w:val="48"/>
          <w:lang w:val="en-US"/>
        </w:rPr>
        <w:t>August 17-20, 2024, Beijing, BJ, China</w:t>
      </w:r>
    </w:p>
    <w:p w14:paraId="4177C9AA" w14:textId="77777777" w:rsidR="004D2790" w:rsidRDefault="004D2790">
      <w:pPr>
        <w:pStyle w:val="Default"/>
        <w:jc w:val="center"/>
        <w:rPr>
          <w:rFonts w:ascii="Times New Roman" w:hAnsi="Times New Roman" w:cs="Times New Roman"/>
          <w:b/>
          <w:bCs/>
          <w:color w:val="auto"/>
          <w:sz w:val="28"/>
          <w:szCs w:val="32"/>
          <w:lang w:val="en-US"/>
        </w:rPr>
      </w:pPr>
    </w:p>
    <w:p w14:paraId="2B805168" w14:textId="77777777" w:rsidR="004D2790" w:rsidRDefault="004D2790">
      <w:pPr>
        <w:pStyle w:val="Default"/>
        <w:jc w:val="center"/>
        <w:rPr>
          <w:rFonts w:ascii="Times New Roman" w:hAnsi="Times New Roman" w:cs="Times New Roman"/>
          <w:b/>
          <w:bCs/>
          <w:color w:val="auto"/>
          <w:sz w:val="28"/>
          <w:szCs w:val="32"/>
          <w:lang w:val="en-US"/>
        </w:rPr>
      </w:pPr>
    </w:p>
    <w:p w14:paraId="74BFC3AB" w14:textId="77777777" w:rsidR="004D2790" w:rsidRDefault="00000000">
      <w:pPr>
        <w:pStyle w:val="Default"/>
        <w:jc w:val="center"/>
        <w:rPr>
          <w:rFonts w:ascii="Times New Roman" w:hAnsi="Times New Roman" w:cs="Times New Roman"/>
          <w:b/>
          <w:bCs/>
          <w:color w:val="auto"/>
          <w:sz w:val="28"/>
          <w:szCs w:val="32"/>
          <w:lang w:val="en-US"/>
        </w:rPr>
      </w:pPr>
      <w:r>
        <w:rPr>
          <w:rFonts w:ascii="Times New Roman" w:hAnsi="Times New Roman" w:cs="Times New Roman"/>
          <w:b/>
          <w:bCs/>
          <w:color w:val="auto"/>
          <w:sz w:val="28"/>
          <w:szCs w:val="32"/>
          <w:lang w:val="en-US"/>
        </w:rPr>
        <w:t>Special Session on</w:t>
      </w:r>
    </w:p>
    <w:p w14:paraId="7BC25C7F" w14:textId="77777777" w:rsidR="004D2790" w:rsidRDefault="004D2790">
      <w:pPr>
        <w:autoSpaceDE w:val="0"/>
        <w:autoSpaceDN w:val="0"/>
        <w:adjustRightInd w:val="0"/>
        <w:jc w:val="center"/>
        <w:rPr>
          <w:b/>
          <w:bCs/>
          <w:sz w:val="23"/>
          <w:szCs w:val="23"/>
          <w:lang w:val="en-US" w:eastAsia="zh-CN"/>
        </w:rPr>
      </w:pPr>
    </w:p>
    <w:p w14:paraId="6A636B32" w14:textId="77777777" w:rsidR="004D2790" w:rsidRDefault="00000000">
      <w:pPr>
        <w:autoSpaceDE w:val="0"/>
        <w:autoSpaceDN w:val="0"/>
        <w:adjustRightInd w:val="0"/>
        <w:jc w:val="center"/>
        <w:rPr>
          <w:sz w:val="36"/>
          <w:szCs w:val="36"/>
          <w:lang w:val="en-US" w:eastAsia="zh-CN"/>
        </w:rPr>
      </w:pPr>
      <w:r>
        <w:rPr>
          <w:rFonts w:hint="eastAsia"/>
          <w:b/>
          <w:bCs/>
          <w:sz w:val="36"/>
          <w:szCs w:val="36"/>
          <w:lang w:val="en-US" w:eastAsia="zh-CN"/>
        </w:rPr>
        <w:t>Continual and Transfer Learning Techniques</w:t>
      </w:r>
      <w:r>
        <w:rPr>
          <w:b/>
          <w:bCs/>
          <w:sz w:val="36"/>
          <w:szCs w:val="36"/>
          <w:lang w:val="en-US"/>
        </w:rPr>
        <w:t xml:space="preserve"> </w:t>
      </w:r>
      <w:r>
        <w:rPr>
          <w:rFonts w:hint="eastAsia"/>
          <w:b/>
          <w:bCs/>
          <w:sz w:val="36"/>
          <w:szCs w:val="36"/>
          <w:lang w:val="en-US" w:eastAsia="zh-CN"/>
        </w:rPr>
        <w:t>for Intelligent Connected Vehicles</w:t>
      </w:r>
    </w:p>
    <w:p w14:paraId="03144F22" w14:textId="77777777" w:rsidR="004D2790" w:rsidRDefault="004D2790">
      <w:pPr>
        <w:autoSpaceDE w:val="0"/>
        <w:autoSpaceDN w:val="0"/>
        <w:adjustRightInd w:val="0"/>
        <w:rPr>
          <w:sz w:val="23"/>
          <w:szCs w:val="23"/>
          <w:lang w:val="en-US"/>
        </w:rPr>
      </w:pPr>
    </w:p>
    <w:p w14:paraId="3D2C8965" w14:textId="77777777" w:rsidR="004D2790" w:rsidRDefault="00000000">
      <w:pPr>
        <w:pStyle w:val="1"/>
        <w:jc w:val="center"/>
        <w:rPr>
          <w:rFonts w:cs="Times New Roman"/>
          <w:sz w:val="36"/>
          <w:szCs w:val="36"/>
        </w:rPr>
      </w:pPr>
      <w:r>
        <w:rPr>
          <w:rFonts w:cs="Times New Roman"/>
          <w:sz w:val="36"/>
          <w:szCs w:val="36"/>
        </w:rPr>
        <w:t>Organized by</w:t>
      </w:r>
    </w:p>
    <w:p w14:paraId="709FAA74" w14:textId="77777777" w:rsidR="004D2790" w:rsidRDefault="00000000">
      <w:pPr>
        <w:tabs>
          <w:tab w:val="left" w:pos="5760"/>
        </w:tabs>
        <w:jc w:val="center"/>
        <w:rPr>
          <w:sz w:val="28"/>
          <w:szCs w:val="28"/>
          <w:lang w:val="en-US" w:eastAsia="zh-CN"/>
        </w:rPr>
      </w:pPr>
      <w:r>
        <w:rPr>
          <w:sz w:val="28"/>
          <w:szCs w:val="28"/>
          <w:lang w:val="en-GB"/>
        </w:rPr>
        <w:t>Principal Organizer(s):</w:t>
      </w:r>
    </w:p>
    <w:p w14:paraId="385B0EEA" w14:textId="77777777" w:rsidR="004D2790" w:rsidRDefault="00000000">
      <w:pPr>
        <w:tabs>
          <w:tab w:val="left" w:pos="5760"/>
        </w:tabs>
        <w:jc w:val="center"/>
        <w:rPr>
          <w:sz w:val="28"/>
          <w:szCs w:val="28"/>
          <w:lang w:val="en-US" w:eastAsia="zh-CN"/>
        </w:rPr>
      </w:pPr>
      <w:r>
        <w:rPr>
          <w:sz w:val="28"/>
          <w:szCs w:val="28"/>
          <w:lang w:val="en-GB"/>
        </w:rPr>
        <w:t xml:space="preserve"> </w:t>
      </w:r>
      <w:r>
        <w:rPr>
          <w:rFonts w:hint="eastAsia"/>
          <w:sz w:val="28"/>
          <w:szCs w:val="28"/>
          <w:lang w:val="en-US" w:eastAsia="zh-CN"/>
        </w:rPr>
        <w:t xml:space="preserve">Fan Zhou, Assistant Professor, </w:t>
      </w:r>
      <w:proofErr w:type="spellStart"/>
      <w:r>
        <w:rPr>
          <w:rFonts w:hint="eastAsia"/>
          <w:sz w:val="28"/>
          <w:szCs w:val="28"/>
          <w:lang w:val="en-US" w:eastAsia="zh-CN"/>
        </w:rPr>
        <w:t>Beihang</w:t>
      </w:r>
      <w:proofErr w:type="spellEnd"/>
      <w:r>
        <w:rPr>
          <w:rFonts w:hint="eastAsia"/>
          <w:sz w:val="28"/>
          <w:szCs w:val="28"/>
          <w:lang w:val="en-US" w:eastAsia="zh-CN"/>
        </w:rPr>
        <w:t xml:space="preserve"> University, </w:t>
      </w:r>
      <w:hyperlink r:id="rId6" w:history="1">
        <w:r>
          <w:rPr>
            <w:rStyle w:val="ab"/>
            <w:rFonts w:hint="eastAsia"/>
            <w:sz w:val="28"/>
            <w:szCs w:val="28"/>
            <w:lang w:val="en-US" w:eastAsia="zh-CN"/>
          </w:rPr>
          <w:t>fanzhou@buaa.edu.cn</w:t>
        </w:r>
      </w:hyperlink>
    </w:p>
    <w:p w14:paraId="1857FAB5" w14:textId="77777777" w:rsidR="004D2790" w:rsidRDefault="00000000">
      <w:pPr>
        <w:tabs>
          <w:tab w:val="left" w:pos="5760"/>
        </w:tabs>
        <w:jc w:val="center"/>
        <w:rPr>
          <w:sz w:val="28"/>
          <w:szCs w:val="28"/>
          <w:lang w:val="en-US" w:eastAsia="zh-CN"/>
        </w:rPr>
      </w:pPr>
      <w:r>
        <w:rPr>
          <w:rFonts w:hint="eastAsia"/>
          <w:sz w:val="28"/>
          <w:szCs w:val="28"/>
          <w:lang w:val="en-US" w:eastAsia="zh-CN"/>
        </w:rPr>
        <w:t xml:space="preserve">Xiaoyu Yan, Lecturer, Beihang University, </w:t>
      </w:r>
      <w:hyperlink r:id="rId7" w:history="1">
        <w:r>
          <w:rPr>
            <w:rStyle w:val="ab"/>
            <w:rFonts w:hint="eastAsia"/>
            <w:sz w:val="28"/>
            <w:szCs w:val="28"/>
            <w:lang w:val="en-US" w:eastAsia="zh-CN"/>
          </w:rPr>
          <w:t>yanxiaoyu@buaa.edu.cn</w:t>
        </w:r>
      </w:hyperlink>
    </w:p>
    <w:p w14:paraId="0239A11D" w14:textId="77777777" w:rsidR="004D2790" w:rsidRDefault="00000000">
      <w:pPr>
        <w:tabs>
          <w:tab w:val="left" w:pos="5760"/>
        </w:tabs>
        <w:jc w:val="center"/>
        <w:rPr>
          <w:sz w:val="28"/>
          <w:szCs w:val="28"/>
          <w:lang w:val="en-US" w:eastAsia="zh-CN"/>
        </w:rPr>
      </w:pPr>
      <w:r>
        <w:rPr>
          <w:rFonts w:hint="eastAsia"/>
          <w:sz w:val="28"/>
          <w:szCs w:val="28"/>
          <w:lang w:val="en-US" w:eastAsia="zh-CN"/>
        </w:rPr>
        <w:t xml:space="preserve">Bingtao Ren, Lecturer, Beihang University, </w:t>
      </w:r>
      <w:hyperlink r:id="rId8" w:history="1">
        <w:r>
          <w:rPr>
            <w:rStyle w:val="ab"/>
            <w:rFonts w:hint="eastAsia"/>
            <w:sz w:val="28"/>
            <w:szCs w:val="28"/>
            <w:lang w:val="en-US" w:eastAsia="zh-CN"/>
          </w:rPr>
          <w:t>renbt1706@buaa.edu.cn</w:t>
        </w:r>
      </w:hyperlink>
    </w:p>
    <w:p w14:paraId="77E68137" w14:textId="77777777" w:rsidR="004D2790" w:rsidRDefault="00000000">
      <w:pPr>
        <w:tabs>
          <w:tab w:val="left" w:pos="5760"/>
        </w:tabs>
        <w:jc w:val="center"/>
        <w:rPr>
          <w:sz w:val="28"/>
          <w:szCs w:val="28"/>
          <w:lang w:val="en-US" w:eastAsia="zh-CN"/>
        </w:rPr>
      </w:pPr>
      <w:r>
        <w:rPr>
          <w:rFonts w:hint="eastAsia"/>
          <w:sz w:val="28"/>
          <w:szCs w:val="28"/>
          <w:lang w:val="en-US" w:eastAsia="zh-CN"/>
        </w:rPr>
        <w:t xml:space="preserve">Shichun Yang, Professor, Beihang University, </w:t>
      </w:r>
      <w:hyperlink r:id="rId9" w:history="1">
        <w:r>
          <w:rPr>
            <w:rStyle w:val="ab"/>
            <w:rFonts w:hint="eastAsia"/>
            <w:sz w:val="28"/>
            <w:szCs w:val="28"/>
            <w:lang w:val="en-US" w:eastAsia="zh-CN"/>
          </w:rPr>
          <w:t>yangshichun@buaa.edu.cn</w:t>
        </w:r>
      </w:hyperlink>
    </w:p>
    <w:p w14:paraId="60F81736" w14:textId="77777777" w:rsidR="004D2790" w:rsidRDefault="004D2790">
      <w:pPr>
        <w:tabs>
          <w:tab w:val="left" w:pos="5760"/>
        </w:tabs>
        <w:jc w:val="center"/>
        <w:rPr>
          <w:sz w:val="28"/>
          <w:szCs w:val="28"/>
          <w:lang w:val="en-US" w:eastAsia="zh-CN"/>
        </w:rPr>
      </w:pPr>
    </w:p>
    <w:p w14:paraId="289F69AE" w14:textId="77777777" w:rsidR="004D2790" w:rsidRDefault="004D2790">
      <w:pPr>
        <w:jc w:val="center"/>
        <w:rPr>
          <w:sz w:val="28"/>
          <w:szCs w:val="28"/>
          <w:lang w:val="pl-PL"/>
        </w:rPr>
      </w:pPr>
    </w:p>
    <w:p w14:paraId="06A603BE" w14:textId="77777777" w:rsidR="004D2790" w:rsidRDefault="004D2790">
      <w:pPr>
        <w:jc w:val="center"/>
        <w:rPr>
          <w:sz w:val="20"/>
          <w:lang w:val="en-GB"/>
        </w:rPr>
      </w:pPr>
    </w:p>
    <w:p w14:paraId="29EA4719" w14:textId="77777777" w:rsidR="004D2790" w:rsidRDefault="00000000">
      <w:pPr>
        <w:pStyle w:val="1"/>
        <w:rPr>
          <w:rFonts w:cs="Times New Roman"/>
          <w:sz w:val="36"/>
          <w:szCs w:val="36"/>
        </w:rPr>
      </w:pPr>
      <w:r>
        <w:rPr>
          <w:rFonts w:cs="Times New Roman"/>
          <w:sz w:val="36"/>
          <w:szCs w:val="36"/>
        </w:rPr>
        <w:t>Call for Papers</w:t>
      </w:r>
    </w:p>
    <w:p w14:paraId="1BB650F7" w14:textId="77777777" w:rsidR="004D2790" w:rsidRDefault="004D2790">
      <w:pPr>
        <w:ind w:left="360"/>
        <w:rPr>
          <w:sz w:val="20"/>
          <w:lang w:val="en-GB"/>
        </w:rPr>
      </w:pPr>
    </w:p>
    <w:p w14:paraId="3C4CE720" w14:textId="77777777" w:rsidR="004D2790" w:rsidRDefault="00000000">
      <w:pPr>
        <w:rPr>
          <w:sz w:val="28"/>
          <w:szCs w:val="28"/>
          <w:lang w:val="en-GB"/>
        </w:rPr>
      </w:pPr>
      <w:r>
        <w:rPr>
          <w:sz w:val="28"/>
          <w:szCs w:val="28"/>
          <w:lang w:val="en-GB"/>
        </w:rPr>
        <w:t>Theme: (100 words)</w:t>
      </w:r>
    </w:p>
    <w:p w14:paraId="6D4B96D5" w14:textId="77777777" w:rsidR="004D2790" w:rsidRDefault="00000000">
      <w:pPr>
        <w:tabs>
          <w:tab w:val="left" w:pos="3900"/>
        </w:tabs>
        <w:rPr>
          <w:sz w:val="28"/>
          <w:szCs w:val="28"/>
          <w:lang w:val="en-GB"/>
        </w:rPr>
      </w:pPr>
      <w:r>
        <w:rPr>
          <w:sz w:val="28"/>
          <w:szCs w:val="28"/>
        </w:rPr>
        <w:t xml:space="preserve">In practical industrial applications, encountering out-of-distribution (OOD) samples, which deviate from the training distribution, is a common occurrence. In security-critical applications, the presence of OOD scenarios or objects can lead to severe safety incidents, particularly in the field of autonomous driving. However, current autonomous driving systems trained on static datasets lack the capability to promptly identify out-of-distribution (OOD) targets and adapt rapidly to OOD scenarios. This special session aims to facilitate discussions among researchers on methodologies, constraints, and future research avenues focused on enhancing the capability of autonomous vehicles to </w:t>
      </w:r>
      <w:r>
        <w:rPr>
          <w:rFonts w:hint="eastAsia"/>
          <w:sz w:val="28"/>
          <w:szCs w:val="28"/>
          <w:lang w:eastAsia="zh-CN"/>
        </w:rPr>
        <w:t>detect</w:t>
      </w:r>
      <w:r>
        <w:rPr>
          <w:sz w:val="28"/>
          <w:szCs w:val="28"/>
        </w:rPr>
        <w:t xml:space="preserve"> OOD scenarios or objects</w:t>
      </w:r>
      <w:r>
        <w:rPr>
          <w:rFonts w:hint="eastAsia"/>
          <w:sz w:val="28"/>
          <w:szCs w:val="28"/>
          <w:lang w:val="en-US" w:eastAsia="zh-CN"/>
        </w:rPr>
        <w:t xml:space="preserve"> through transfer and continual learning</w:t>
      </w:r>
      <w:r>
        <w:rPr>
          <w:sz w:val="28"/>
          <w:szCs w:val="28"/>
        </w:rPr>
        <w:t>.</w:t>
      </w:r>
      <w:r>
        <w:rPr>
          <w:sz w:val="28"/>
          <w:szCs w:val="28"/>
          <w:lang w:val="en-GB"/>
        </w:rPr>
        <w:tab/>
      </w:r>
    </w:p>
    <w:p w14:paraId="07E64BEA" w14:textId="77777777" w:rsidR="004D2790" w:rsidRDefault="004D2790">
      <w:pPr>
        <w:rPr>
          <w:sz w:val="28"/>
          <w:szCs w:val="28"/>
          <w:lang w:val="en-GB"/>
        </w:rPr>
      </w:pPr>
    </w:p>
    <w:p w14:paraId="28FAFE17" w14:textId="77777777" w:rsidR="004D2790" w:rsidRDefault="00000000">
      <w:pPr>
        <w:rPr>
          <w:sz w:val="28"/>
          <w:szCs w:val="28"/>
          <w:lang w:val="en-GB"/>
        </w:rPr>
      </w:pPr>
      <w:r>
        <w:rPr>
          <w:sz w:val="28"/>
          <w:szCs w:val="28"/>
          <w:lang w:val="en-GB"/>
        </w:rPr>
        <w:t>Topics of interest include, but are not limited to:</w:t>
      </w:r>
    </w:p>
    <w:p w14:paraId="3FF28708" w14:textId="77777777" w:rsidR="004D2790" w:rsidRDefault="004D2790">
      <w:pPr>
        <w:rPr>
          <w:sz w:val="28"/>
          <w:szCs w:val="28"/>
          <w:lang w:val="en-GB"/>
        </w:rPr>
      </w:pPr>
    </w:p>
    <w:p w14:paraId="56330D1B" w14:textId="77777777" w:rsidR="004D2790" w:rsidRDefault="00000000">
      <w:pPr>
        <w:spacing w:line="360" w:lineRule="auto"/>
        <w:ind w:left="360"/>
        <w:rPr>
          <w:sz w:val="28"/>
          <w:szCs w:val="28"/>
          <w:lang w:val="en-US" w:eastAsia="zh-CN"/>
        </w:rPr>
      </w:pPr>
      <w:r>
        <w:rPr>
          <w:rFonts w:hint="eastAsia"/>
          <w:sz w:val="28"/>
          <w:szCs w:val="28"/>
          <w:lang w:val="en-US" w:eastAsia="zh-CN"/>
        </w:rPr>
        <w:t>Transfer Learning in ICVs</w:t>
      </w:r>
    </w:p>
    <w:p w14:paraId="7F8A9E6B" w14:textId="77777777" w:rsidR="004D2790" w:rsidRDefault="00000000">
      <w:pPr>
        <w:spacing w:line="360" w:lineRule="auto"/>
        <w:ind w:left="360"/>
        <w:rPr>
          <w:sz w:val="28"/>
          <w:szCs w:val="28"/>
          <w:lang w:val="en-GB" w:eastAsia="zh-CN"/>
        </w:rPr>
      </w:pPr>
      <w:r>
        <w:rPr>
          <w:sz w:val="28"/>
          <w:szCs w:val="28"/>
          <w:lang w:val="en-GB" w:eastAsia="zh-CN"/>
        </w:rPr>
        <w:t xml:space="preserve">Similarity of learning task in </w:t>
      </w:r>
      <w:r>
        <w:rPr>
          <w:rFonts w:hint="eastAsia"/>
          <w:sz w:val="28"/>
          <w:szCs w:val="28"/>
          <w:lang w:val="en-US" w:eastAsia="zh-CN"/>
        </w:rPr>
        <w:t>ICVs</w:t>
      </w:r>
    </w:p>
    <w:p w14:paraId="03EC785E" w14:textId="77777777" w:rsidR="004D2790" w:rsidRDefault="00000000">
      <w:pPr>
        <w:spacing w:line="360" w:lineRule="auto"/>
        <w:ind w:left="360"/>
        <w:rPr>
          <w:sz w:val="28"/>
          <w:szCs w:val="28"/>
          <w:lang w:val="en-GB" w:eastAsia="zh-CN"/>
        </w:rPr>
      </w:pPr>
      <w:r>
        <w:rPr>
          <w:rFonts w:hint="eastAsia"/>
          <w:sz w:val="28"/>
          <w:szCs w:val="28"/>
          <w:lang w:val="en-GB" w:eastAsia="zh-CN"/>
        </w:rPr>
        <w:lastRenderedPageBreak/>
        <w:t>C</w:t>
      </w:r>
      <w:r>
        <w:rPr>
          <w:sz w:val="28"/>
          <w:szCs w:val="28"/>
          <w:lang w:val="en-GB" w:eastAsia="zh-CN"/>
        </w:rPr>
        <w:t xml:space="preserve">ontinual object detection in </w:t>
      </w:r>
      <w:r>
        <w:rPr>
          <w:rFonts w:hint="eastAsia"/>
          <w:sz w:val="28"/>
          <w:szCs w:val="28"/>
          <w:lang w:val="en-US" w:eastAsia="zh-CN"/>
        </w:rPr>
        <w:t>ICVs</w:t>
      </w:r>
    </w:p>
    <w:p w14:paraId="21D26D9D" w14:textId="77777777" w:rsidR="004D2790" w:rsidRDefault="00000000">
      <w:pPr>
        <w:spacing w:line="360" w:lineRule="auto"/>
        <w:ind w:left="360"/>
        <w:rPr>
          <w:sz w:val="28"/>
          <w:szCs w:val="28"/>
          <w:lang w:val="en-GB" w:eastAsia="zh-CN"/>
        </w:rPr>
      </w:pPr>
      <w:r>
        <w:rPr>
          <w:rFonts w:hint="eastAsia"/>
          <w:sz w:val="28"/>
          <w:szCs w:val="28"/>
          <w:lang w:val="en-GB" w:eastAsia="zh-CN"/>
        </w:rPr>
        <w:t>O</w:t>
      </w:r>
      <w:r>
        <w:rPr>
          <w:sz w:val="28"/>
          <w:szCs w:val="28"/>
          <w:lang w:val="en-GB" w:eastAsia="zh-CN"/>
        </w:rPr>
        <w:t xml:space="preserve">nline learning model for </w:t>
      </w:r>
      <w:r>
        <w:rPr>
          <w:rFonts w:hint="eastAsia"/>
          <w:sz w:val="28"/>
          <w:szCs w:val="28"/>
          <w:lang w:val="en-US" w:eastAsia="zh-CN"/>
        </w:rPr>
        <w:t>ICVs</w:t>
      </w:r>
    </w:p>
    <w:p w14:paraId="20C3F41B" w14:textId="77777777" w:rsidR="004D2790" w:rsidRDefault="00000000">
      <w:pPr>
        <w:spacing w:line="360" w:lineRule="auto"/>
        <w:ind w:left="360"/>
        <w:rPr>
          <w:sz w:val="28"/>
          <w:szCs w:val="28"/>
          <w:lang w:val="en-GB" w:eastAsia="zh-CN"/>
        </w:rPr>
      </w:pPr>
      <w:r>
        <w:rPr>
          <w:rFonts w:hint="eastAsia"/>
          <w:sz w:val="28"/>
          <w:szCs w:val="28"/>
          <w:lang w:val="en-GB" w:eastAsia="zh-CN"/>
        </w:rPr>
        <w:t>O</w:t>
      </w:r>
      <w:r>
        <w:rPr>
          <w:sz w:val="28"/>
          <w:szCs w:val="28"/>
          <w:lang w:val="en-GB" w:eastAsia="zh-CN"/>
        </w:rPr>
        <w:t xml:space="preserve">OD fault diagnosis </w:t>
      </w:r>
    </w:p>
    <w:p w14:paraId="18788202" w14:textId="77777777" w:rsidR="004D2790" w:rsidRDefault="00000000">
      <w:pPr>
        <w:spacing w:line="360" w:lineRule="auto"/>
        <w:ind w:left="360"/>
        <w:rPr>
          <w:sz w:val="28"/>
          <w:szCs w:val="28"/>
          <w:lang w:val="en-GB" w:eastAsia="zh-CN"/>
        </w:rPr>
      </w:pPr>
      <w:r>
        <w:rPr>
          <w:sz w:val="28"/>
          <w:szCs w:val="28"/>
          <w:lang w:val="en-GB" w:eastAsia="zh-CN"/>
        </w:rPr>
        <w:t>Model transfer between different traffic scenarios</w:t>
      </w:r>
    </w:p>
    <w:p w14:paraId="6220442A" w14:textId="77777777" w:rsidR="004D2790" w:rsidRDefault="00000000">
      <w:pPr>
        <w:spacing w:line="360" w:lineRule="auto"/>
        <w:ind w:left="360"/>
        <w:rPr>
          <w:sz w:val="28"/>
          <w:szCs w:val="28"/>
          <w:lang w:val="en-GB" w:eastAsia="zh-CN"/>
        </w:rPr>
      </w:pPr>
      <w:r>
        <w:rPr>
          <w:sz w:val="28"/>
          <w:szCs w:val="28"/>
          <w:lang w:val="en-GB" w:eastAsia="zh-CN"/>
        </w:rPr>
        <w:t>Empirical Studies on Model Generalization</w:t>
      </w:r>
    </w:p>
    <w:p w14:paraId="0AE3FD5E" w14:textId="77777777" w:rsidR="004D2790" w:rsidRDefault="00000000">
      <w:pPr>
        <w:spacing w:line="360" w:lineRule="auto"/>
        <w:ind w:left="360"/>
        <w:rPr>
          <w:sz w:val="28"/>
          <w:szCs w:val="28"/>
        </w:rPr>
      </w:pPr>
      <w:r>
        <w:rPr>
          <w:sz w:val="28"/>
          <w:szCs w:val="28"/>
          <w:lang w:eastAsia="zh-CN"/>
        </w:rPr>
        <w:t>Generative-based OOD data augmentation</w:t>
      </w:r>
    </w:p>
    <w:sectPr w:rsidR="004D2790">
      <w:headerReference w:type="default" r:id="rId10"/>
      <w:footerReference w:type="default" r:id="rId11"/>
      <w:pgSz w:w="11906" w:h="16838"/>
      <w:pgMar w:top="851" w:right="1134" w:bottom="851" w:left="1134" w:header="397"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AE8F4" w14:textId="77777777" w:rsidR="00321191" w:rsidRDefault="00321191">
      <w:r>
        <w:separator/>
      </w:r>
    </w:p>
  </w:endnote>
  <w:endnote w:type="continuationSeparator" w:id="0">
    <w:p w14:paraId="69194FBF" w14:textId="77777777" w:rsidR="00321191" w:rsidRDefault="0032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64"/>
      <w:gridCol w:w="8674"/>
    </w:tblGrid>
    <w:tr w:rsidR="004D2790" w14:paraId="570CF1AB" w14:textId="77777777">
      <w:tc>
        <w:tcPr>
          <w:tcW w:w="500" w:type="pct"/>
          <w:tcBorders>
            <w:top w:val="single" w:sz="4" w:space="0" w:color="943634"/>
          </w:tcBorders>
          <w:shd w:val="clear" w:color="auto" w:fill="943634"/>
        </w:tcPr>
        <w:p w14:paraId="6CE99E05" w14:textId="77777777" w:rsidR="004D2790" w:rsidRDefault="00000000">
          <w:pPr>
            <w:pStyle w:val="a5"/>
            <w:ind w:right="60"/>
            <w:jc w:val="right"/>
            <w:rPr>
              <w:b/>
              <w:bCs/>
              <w:color w:val="FFFFFF"/>
            </w:rPr>
          </w:pPr>
          <w:r>
            <w:fldChar w:fldCharType="begin"/>
          </w:r>
          <w:r>
            <w:instrText xml:space="preserve"> PAGE   \* MERGEFORMAT </w:instrText>
          </w:r>
          <w:r>
            <w:fldChar w:fldCharType="separate"/>
          </w:r>
          <w:r>
            <w:rPr>
              <w:color w:val="FFFFFF"/>
            </w:rPr>
            <w:t>1</w:t>
          </w:r>
          <w:r>
            <w:rPr>
              <w:color w:val="FFFFFF"/>
            </w:rPr>
            <w:fldChar w:fldCharType="end"/>
          </w:r>
        </w:p>
      </w:tc>
      <w:tc>
        <w:tcPr>
          <w:tcW w:w="4500" w:type="pct"/>
          <w:tcBorders>
            <w:top w:val="single" w:sz="4" w:space="0" w:color="auto"/>
          </w:tcBorders>
        </w:tcPr>
        <w:p w14:paraId="59601B87" w14:textId="77777777" w:rsidR="004D2790" w:rsidRDefault="00000000">
          <w:pPr>
            <w:widowControl w:val="0"/>
            <w:spacing w:after="40"/>
            <w:rPr>
              <w:b/>
              <w:bCs/>
              <w:sz w:val="22"/>
              <w:szCs w:val="22"/>
            </w:rPr>
          </w:pPr>
          <w:r>
            <w:rPr>
              <w:b/>
              <w:bCs/>
              <w:color w:val="002060"/>
              <w:sz w:val="22"/>
              <w:szCs w:val="22"/>
            </w:rPr>
            <w:t xml:space="preserve">Accepted papers will be published in an IEEE proceedings volume and will be also submitted for the International Publication in </w:t>
          </w:r>
          <w:r>
            <w:rPr>
              <w:b/>
              <w:bCs/>
              <w:i/>
              <w:iCs/>
              <w:color w:val="002060"/>
              <w:sz w:val="22"/>
              <w:szCs w:val="22"/>
            </w:rPr>
            <w:t>IEEE xplore</w:t>
          </w:r>
        </w:p>
      </w:tc>
    </w:tr>
  </w:tbl>
  <w:p w14:paraId="26A00EFB" w14:textId="77777777" w:rsidR="004D2790" w:rsidRDefault="004D27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B5F5" w14:textId="77777777" w:rsidR="00321191" w:rsidRDefault="00321191">
      <w:r>
        <w:separator/>
      </w:r>
    </w:p>
  </w:footnote>
  <w:footnote w:type="continuationSeparator" w:id="0">
    <w:p w14:paraId="284161F2" w14:textId="77777777" w:rsidR="00321191" w:rsidRDefault="00321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86"/>
      <w:gridCol w:w="4852"/>
    </w:tblGrid>
    <w:tr w:rsidR="004D2790" w14:paraId="5A47AAEF" w14:textId="77777777">
      <w:tc>
        <w:tcPr>
          <w:tcW w:w="4927" w:type="dxa"/>
          <w:shd w:val="clear" w:color="auto" w:fill="auto"/>
        </w:tcPr>
        <w:p w14:paraId="7E16580F" w14:textId="77777777" w:rsidR="004D2790" w:rsidRDefault="004D2790">
          <w:pPr>
            <w:pStyle w:val="a7"/>
          </w:pPr>
        </w:p>
      </w:tc>
      <w:tc>
        <w:tcPr>
          <w:tcW w:w="4927" w:type="dxa"/>
          <w:shd w:val="clear" w:color="auto" w:fill="auto"/>
        </w:tcPr>
        <w:p w14:paraId="3A3D3C86" w14:textId="77777777" w:rsidR="004D2790" w:rsidRDefault="00000000">
          <w:pPr>
            <w:pStyle w:val="a7"/>
            <w:jc w:val="right"/>
          </w:pPr>
          <w:r>
            <w:rPr>
              <w:lang w:val="en-US" w:eastAsia="zh-CN"/>
            </w:rPr>
            <w:t xml:space="preserve">  </w:t>
          </w:r>
          <w:r>
            <w:rPr>
              <w:noProof/>
              <w:lang w:val="en-US" w:eastAsia="zh-CN"/>
            </w:rPr>
            <w:drawing>
              <wp:inline distT="0" distB="0" distL="0" distR="0" wp14:anchorId="4265141A" wp14:editId="3AC0FC04">
                <wp:extent cx="1386840" cy="4375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73490" cy="464686"/>
                        </a:xfrm>
                        <a:prstGeom prst="rect">
                          <a:avLst/>
                        </a:prstGeom>
                      </pic:spPr>
                    </pic:pic>
                  </a:graphicData>
                </a:graphic>
              </wp:inline>
            </w:drawing>
          </w:r>
          <w:r>
            <w:rPr>
              <w:lang w:val="en-US" w:eastAsia="zh-CN"/>
            </w:rPr>
            <w:t xml:space="preserve">        </w:t>
          </w:r>
          <w:r>
            <w:rPr>
              <w:noProof/>
              <w:lang w:val="en-US" w:eastAsia="zh-CN"/>
            </w:rPr>
            <w:drawing>
              <wp:inline distT="0" distB="0" distL="0" distR="0" wp14:anchorId="189105BD" wp14:editId="0E95E6CD">
                <wp:extent cx="697865" cy="4851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743673" cy="517361"/>
                        </a:xfrm>
                        <a:prstGeom prst="rect">
                          <a:avLst/>
                        </a:prstGeom>
                      </pic:spPr>
                    </pic:pic>
                  </a:graphicData>
                </a:graphic>
              </wp:inline>
            </w:drawing>
          </w:r>
          <w:r>
            <w:rPr>
              <w:lang w:val="en-US" w:eastAsia="zh-CN"/>
            </w:rPr>
            <w:t xml:space="preserve">              </w:t>
          </w:r>
        </w:p>
      </w:tc>
    </w:tr>
  </w:tbl>
  <w:p w14:paraId="0A756CE4" w14:textId="77777777" w:rsidR="004D2790" w:rsidRDefault="004D2790">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1025"/>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8ba753c1-a40a-4df4-b7fa-a642142d1a69"/>
  </w:docVars>
  <w:rsids>
    <w:rsidRoot w:val="00A868B5"/>
    <w:rsid w:val="00035580"/>
    <w:rsid w:val="00047C46"/>
    <w:rsid w:val="000710A2"/>
    <w:rsid w:val="00076178"/>
    <w:rsid w:val="00082E7B"/>
    <w:rsid w:val="000A52B6"/>
    <w:rsid w:val="000B4ED5"/>
    <w:rsid w:val="000B7922"/>
    <w:rsid w:val="000C0217"/>
    <w:rsid w:val="000E34CF"/>
    <w:rsid w:val="000F38D5"/>
    <w:rsid w:val="00105B4A"/>
    <w:rsid w:val="00115621"/>
    <w:rsid w:val="00134365"/>
    <w:rsid w:val="0014339A"/>
    <w:rsid w:val="00151782"/>
    <w:rsid w:val="001520D3"/>
    <w:rsid w:val="00160896"/>
    <w:rsid w:val="00184F60"/>
    <w:rsid w:val="001912C5"/>
    <w:rsid w:val="001C2826"/>
    <w:rsid w:val="001C60BF"/>
    <w:rsid w:val="001D4345"/>
    <w:rsid w:val="001D54D2"/>
    <w:rsid w:val="001E08E1"/>
    <w:rsid w:val="001E14B2"/>
    <w:rsid w:val="001E3C4E"/>
    <w:rsid w:val="00200023"/>
    <w:rsid w:val="00210ABD"/>
    <w:rsid w:val="0021310A"/>
    <w:rsid w:val="00225B65"/>
    <w:rsid w:val="0023559B"/>
    <w:rsid w:val="00240551"/>
    <w:rsid w:val="00243868"/>
    <w:rsid w:val="00283EB4"/>
    <w:rsid w:val="002B121A"/>
    <w:rsid w:val="002B3BCE"/>
    <w:rsid w:val="002B7EB4"/>
    <w:rsid w:val="002C77D3"/>
    <w:rsid w:val="002C78BF"/>
    <w:rsid w:val="002D4532"/>
    <w:rsid w:val="00321191"/>
    <w:rsid w:val="0032284C"/>
    <w:rsid w:val="003243B0"/>
    <w:rsid w:val="003311A7"/>
    <w:rsid w:val="00353AEE"/>
    <w:rsid w:val="00353D27"/>
    <w:rsid w:val="003564ED"/>
    <w:rsid w:val="0038771D"/>
    <w:rsid w:val="00392E97"/>
    <w:rsid w:val="003A5379"/>
    <w:rsid w:val="003B1FF2"/>
    <w:rsid w:val="003C1713"/>
    <w:rsid w:val="003C5556"/>
    <w:rsid w:val="003D02D3"/>
    <w:rsid w:val="003D506B"/>
    <w:rsid w:val="003E1C58"/>
    <w:rsid w:val="003F3D8F"/>
    <w:rsid w:val="003F474F"/>
    <w:rsid w:val="003F6CB3"/>
    <w:rsid w:val="00405C07"/>
    <w:rsid w:val="004110B4"/>
    <w:rsid w:val="004220CA"/>
    <w:rsid w:val="0049373C"/>
    <w:rsid w:val="004A3C13"/>
    <w:rsid w:val="004B2E5F"/>
    <w:rsid w:val="004D1732"/>
    <w:rsid w:val="004D2790"/>
    <w:rsid w:val="004D3B97"/>
    <w:rsid w:val="004F186D"/>
    <w:rsid w:val="004F2CD9"/>
    <w:rsid w:val="004F4F27"/>
    <w:rsid w:val="005475BD"/>
    <w:rsid w:val="005527D1"/>
    <w:rsid w:val="00563108"/>
    <w:rsid w:val="0056777B"/>
    <w:rsid w:val="005771E9"/>
    <w:rsid w:val="00581CE6"/>
    <w:rsid w:val="0058472C"/>
    <w:rsid w:val="00586D4C"/>
    <w:rsid w:val="005914E3"/>
    <w:rsid w:val="00592878"/>
    <w:rsid w:val="005B4285"/>
    <w:rsid w:val="005C2EAB"/>
    <w:rsid w:val="006147B4"/>
    <w:rsid w:val="006147FE"/>
    <w:rsid w:val="00614B2B"/>
    <w:rsid w:val="00622CA3"/>
    <w:rsid w:val="006319AF"/>
    <w:rsid w:val="00634C3A"/>
    <w:rsid w:val="0064040C"/>
    <w:rsid w:val="00645B1C"/>
    <w:rsid w:val="00650F37"/>
    <w:rsid w:val="006644DF"/>
    <w:rsid w:val="00680B91"/>
    <w:rsid w:val="00682C9E"/>
    <w:rsid w:val="00695A1D"/>
    <w:rsid w:val="00695B75"/>
    <w:rsid w:val="006971A9"/>
    <w:rsid w:val="006A5570"/>
    <w:rsid w:val="006C3DB2"/>
    <w:rsid w:val="007050D6"/>
    <w:rsid w:val="0070559B"/>
    <w:rsid w:val="007136BD"/>
    <w:rsid w:val="00726F26"/>
    <w:rsid w:val="00772BEA"/>
    <w:rsid w:val="00781605"/>
    <w:rsid w:val="00782228"/>
    <w:rsid w:val="00786E51"/>
    <w:rsid w:val="007917A7"/>
    <w:rsid w:val="00795823"/>
    <w:rsid w:val="007A4136"/>
    <w:rsid w:val="007D76A8"/>
    <w:rsid w:val="007E15A4"/>
    <w:rsid w:val="007F39BD"/>
    <w:rsid w:val="007F4333"/>
    <w:rsid w:val="007F67D5"/>
    <w:rsid w:val="007F689F"/>
    <w:rsid w:val="00813FD3"/>
    <w:rsid w:val="0081482D"/>
    <w:rsid w:val="00817EA2"/>
    <w:rsid w:val="008246CC"/>
    <w:rsid w:val="00834AEB"/>
    <w:rsid w:val="00835510"/>
    <w:rsid w:val="00835AB0"/>
    <w:rsid w:val="00844C87"/>
    <w:rsid w:val="00847EB6"/>
    <w:rsid w:val="008550E7"/>
    <w:rsid w:val="008750E8"/>
    <w:rsid w:val="00877246"/>
    <w:rsid w:val="00884BA7"/>
    <w:rsid w:val="008869A1"/>
    <w:rsid w:val="008B183A"/>
    <w:rsid w:val="008B2A0F"/>
    <w:rsid w:val="008B5E4C"/>
    <w:rsid w:val="008C567D"/>
    <w:rsid w:val="008F33BA"/>
    <w:rsid w:val="008F4E29"/>
    <w:rsid w:val="00912CA8"/>
    <w:rsid w:val="00917A72"/>
    <w:rsid w:val="00933CB0"/>
    <w:rsid w:val="009507A5"/>
    <w:rsid w:val="00972747"/>
    <w:rsid w:val="009A5583"/>
    <w:rsid w:val="009B5820"/>
    <w:rsid w:val="009B5DEC"/>
    <w:rsid w:val="009C6461"/>
    <w:rsid w:val="009E785A"/>
    <w:rsid w:val="009F0109"/>
    <w:rsid w:val="00A047CB"/>
    <w:rsid w:val="00A33DDD"/>
    <w:rsid w:val="00A63E38"/>
    <w:rsid w:val="00A868B5"/>
    <w:rsid w:val="00A91C11"/>
    <w:rsid w:val="00AA1825"/>
    <w:rsid w:val="00AB3888"/>
    <w:rsid w:val="00AE4CCE"/>
    <w:rsid w:val="00AF1EA0"/>
    <w:rsid w:val="00B00903"/>
    <w:rsid w:val="00B00B9E"/>
    <w:rsid w:val="00B1691D"/>
    <w:rsid w:val="00B33A8D"/>
    <w:rsid w:val="00B439A5"/>
    <w:rsid w:val="00B4447B"/>
    <w:rsid w:val="00B46D9F"/>
    <w:rsid w:val="00B51E5E"/>
    <w:rsid w:val="00B53AF2"/>
    <w:rsid w:val="00B56783"/>
    <w:rsid w:val="00B64BEE"/>
    <w:rsid w:val="00B7102A"/>
    <w:rsid w:val="00B80E6B"/>
    <w:rsid w:val="00B85D16"/>
    <w:rsid w:val="00B86D1B"/>
    <w:rsid w:val="00BA7F05"/>
    <w:rsid w:val="00BB1796"/>
    <w:rsid w:val="00BB48DE"/>
    <w:rsid w:val="00BB6581"/>
    <w:rsid w:val="00BC5C24"/>
    <w:rsid w:val="00BE452D"/>
    <w:rsid w:val="00C02759"/>
    <w:rsid w:val="00C05609"/>
    <w:rsid w:val="00C057F0"/>
    <w:rsid w:val="00C240CB"/>
    <w:rsid w:val="00C34846"/>
    <w:rsid w:val="00C37DC8"/>
    <w:rsid w:val="00C4341B"/>
    <w:rsid w:val="00C5313C"/>
    <w:rsid w:val="00C61CAB"/>
    <w:rsid w:val="00C77298"/>
    <w:rsid w:val="00CC6D5C"/>
    <w:rsid w:val="00CC6DDC"/>
    <w:rsid w:val="00CD4695"/>
    <w:rsid w:val="00D02037"/>
    <w:rsid w:val="00D10DFF"/>
    <w:rsid w:val="00D21819"/>
    <w:rsid w:val="00D34EEF"/>
    <w:rsid w:val="00D3789C"/>
    <w:rsid w:val="00D422BD"/>
    <w:rsid w:val="00D45939"/>
    <w:rsid w:val="00D57CC9"/>
    <w:rsid w:val="00D625A8"/>
    <w:rsid w:val="00D86A37"/>
    <w:rsid w:val="00D975C9"/>
    <w:rsid w:val="00DB235A"/>
    <w:rsid w:val="00DC44D9"/>
    <w:rsid w:val="00DD3E4F"/>
    <w:rsid w:val="00E00354"/>
    <w:rsid w:val="00E101B4"/>
    <w:rsid w:val="00E11D14"/>
    <w:rsid w:val="00E21C14"/>
    <w:rsid w:val="00E369F3"/>
    <w:rsid w:val="00E42E05"/>
    <w:rsid w:val="00E437DF"/>
    <w:rsid w:val="00E44F5F"/>
    <w:rsid w:val="00E518C6"/>
    <w:rsid w:val="00E53FDB"/>
    <w:rsid w:val="00E5429A"/>
    <w:rsid w:val="00E64144"/>
    <w:rsid w:val="00E874E0"/>
    <w:rsid w:val="00EB02E6"/>
    <w:rsid w:val="00EC2581"/>
    <w:rsid w:val="00EF0874"/>
    <w:rsid w:val="00EF4227"/>
    <w:rsid w:val="00EF5800"/>
    <w:rsid w:val="00EF6082"/>
    <w:rsid w:val="00F069D2"/>
    <w:rsid w:val="00F3579F"/>
    <w:rsid w:val="00F35888"/>
    <w:rsid w:val="00F65E8D"/>
    <w:rsid w:val="00F77B66"/>
    <w:rsid w:val="00F83474"/>
    <w:rsid w:val="00F9199A"/>
    <w:rsid w:val="00FB53FE"/>
    <w:rsid w:val="00FC30CA"/>
    <w:rsid w:val="00FD2D7B"/>
    <w:rsid w:val="00FE7FFA"/>
    <w:rsid w:val="21FC23A1"/>
    <w:rsid w:val="36183FA1"/>
    <w:rsid w:val="36F80CCE"/>
    <w:rsid w:val="40AF5AAD"/>
    <w:rsid w:val="4A0B1FA6"/>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E8C181"/>
  <w15:docId w15:val="{3B89B2C8-0B47-4503-92C4-B51FB6C00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en-AU" w:eastAsia="es-ES"/>
    </w:rPr>
  </w:style>
  <w:style w:type="paragraph" w:styleId="1">
    <w:name w:val="heading 1"/>
    <w:basedOn w:val="a"/>
    <w:next w:val="a"/>
    <w:qFormat/>
    <w:pPr>
      <w:keepNext/>
      <w:spacing w:before="240" w:after="60"/>
      <w:outlineLvl w:val="0"/>
    </w:pPr>
    <w:rPr>
      <w:rFonts w:cs="Arial"/>
      <w:b/>
      <w:bCs/>
      <w:kern w:val="32"/>
      <w:sz w:val="32"/>
      <w:szCs w:val="32"/>
    </w:rPr>
  </w:style>
  <w:style w:type="paragraph" w:styleId="2">
    <w:name w:val="heading 2"/>
    <w:basedOn w:val="a"/>
    <w:next w:val="a"/>
    <w:qFormat/>
    <w:pPr>
      <w:keepNext/>
      <w:spacing w:before="240" w:after="60"/>
      <w:outlineLvl w:val="1"/>
    </w:pPr>
    <w:rPr>
      <w:rFonts w:cs="Arial"/>
      <w:b/>
      <w:bCs/>
      <w:iCs/>
      <w:sz w:val="28"/>
      <w:szCs w:val="28"/>
    </w:rPr>
  </w:style>
  <w:style w:type="paragraph" w:styleId="3">
    <w:name w:val="heading 3"/>
    <w:basedOn w:val="a"/>
    <w:next w:val="a"/>
    <w:qFormat/>
    <w:pPr>
      <w:keepNext/>
      <w:spacing w:before="240" w:after="60"/>
      <w:outlineLvl w:val="2"/>
    </w:pPr>
    <w:rPr>
      <w:rFonts w:cs="Arial"/>
      <w:b/>
      <w:bCs/>
      <w:sz w:val="26"/>
      <w:szCs w:val="26"/>
    </w:rPr>
  </w:style>
  <w:style w:type="paragraph" w:styleId="4">
    <w:name w:val="heading 4"/>
    <w:basedOn w:val="a"/>
    <w:next w:val="a"/>
    <w:qFormat/>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rFonts w:ascii="Tahoma" w:hAnsi="Tahoma" w:cs="Tahoma"/>
      <w:sz w:val="16"/>
      <w:szCs w:val="16"/>
    </w:rPr>
  </w:style>
  <w:style w:type="paragraph" w:styleId="a5">
    <w:name w:val="footer"/>
    <w:basedOn w:val="a"/>
    <w:link w:val="a6"/>
    <w:uiPriority w:val="99"/>
    <w:rPr>
      <w:sz w:val="12"/>
    </w:rPr>
  </w:style>
  <w:style w:type="paragraph" w:styleId="a7">
    <w:name w:val="header"/>
    <w:basedOn w:val="a"/>
    <w:rPr>
      <w:sz w:val="12"/>
    </w:rPr>
  </w:style>
  <w:style w:type="table" w:styleId="a8">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qFormat/>
    <w:rPr>
      <w:b/>
    </w:rPr>
  </w:style>
  <w:style w:type="character" w:styleId="aa">
    <w:name w:val="FollowedHyperlink"/>
    <w:qFormat/>
    <w:rPr>
      <w:color w:val="800080"/>
      <w:u w:val="single"/>
    </w:rPr>
  </w:style>
  <w:style w:type="character" w:styleId="ab">
    <w:name w:val="Hyperlink"/>
    <w:qFormat/>
    <w:rPr>
      <w:color w:val="0000FF"/>
      <w:u w:val="single"/>
    </w:rPr>
  </w:style>
  <w:style w:type="paragraph" w:customStyle="1" w:styleId="BlockQuote">
    <w:name w:val="Block Quote"/>
    <w:basedOn w:val="a"/>
    <w:next w:val="a"/>
    <w:pPr>
      <w:ind w:left="720"/>
    </w:pPr>
  </w:style>
  <w:style w:type="paragraph" w:customStyle="1" w:styleId="Default">
    <w:name w:val="Default"/>
    <w:qFormat/>
    <w:pPr>
      <w:autoSpaceDE w:val="0"/>
      <w:autoSpaceDN w:val="0"/>
      <w:adjustRightInd w:val="0"/>
    </w:pPr>
    <w:rPr>
      <w:rFonts w:ascii="Arial" w:hAnsi="Arial" w:cs="Arial"/>
      <w:color w:val="000000"/>
      <w:sz w:val="24"/>
      <w:szCs w:val="24"/>
      <w:lang w:val="es-ES" w:eastAsia="es-ES"/>
    </w:rPr>
  </w:style>
  <w:style w:type="character" w:customStyle="1" w:styleId="a6">
    <w:name w:val="页脚 字符"/>
    <w:link w:val="a5"/>
    <w:uiPriority w:val="99"/>
    <w:qFormat/>
    <w:rPr>
      <w:sz w:val="12"/>
      <w:szCs w:val="24"/>
      <w:lang w:val="es-ES" w:eastAsia="es-ES"/>
    </w:rPr>
  </w:style>
  <w:style w:type="character" w:customStyle="1" w:styleId="a4">
    <w:name w:val="批注框文本 字符"/>
    <w:link w:val="a3"/>
    <w:qFormat/>
    <w:rPr>
      <w:rFonts w:ascii="Tahoma" w:hAnsi="Tahoma" w:cs="Tahoma"/>
      <w:sz w:val="16"/>
      <w:szCs w:val="16"/>
      <w:lang w:val="es-ES" w:eastAsia="es-ES"/>
    </w:rPr>
  </w:style>
  <w:style w:type="paragraph" w:styleId="ac">
    <w:name w:val="List Paragraph"/>
    <w:basedOn w:val="a"/>
    <w:uiPriority w:val="99"/>
    <w:unhideWhenUsed/>
    <w:pPr>
      <w:ind w:firstLineChars="200" w:firstLine="420"/>
    </w:pPr>
  </w:style>
  <w:style w:type="character" w:customStyle="1" w:styleId="10">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enbt1706@buaa.edu.c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yanxiaoyu@buaa.edu.c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anzhou@buaa.edu.cn"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mailto:yangshichun@buaa.edu.cn"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274</Words>
  <Characters>1567</Characters>
  <Application>Microsoft Office Word</Application>
  <DocSecurity>0</DocSecurity>
  <Lines>13</Lines>
  <Paragraphs>3</Paragraphs>
  <ScaleCrop>false</ScaleCrop>
  <Company>RMIT University</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Van Nieuwenhoven</dc:creator>
  <cp:lastModifiedBy>辰飞 侯</cp:lastModifiedBy>
  <cp:revision>2</cp:revision>
  <cp:lastPrinted>2010-11-24T14:16:00Z</cp:lastPrinted>
  <dcterms:created xsi:type="dcterms:W3CDTF">2024-02-22T14:38:00Z</dcterms:created>
  <dcterms:modified xsi:type="dcterms:W3CDTF">2024-02-22T14:38:00Z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7BA5D5B705D54B9D8742D5E34A2C0641_13</vt:lpwstr>
  </property>
</Properties>
</file>