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before="300" w:after="800" w:line="240" w:lineRule="auto"/>
        <w:ind w:firstLine="0"/>
        <w:jc w:val="center"/>
        <w:rPr>
          <w:rFonts w:eastAsia="幼圆"/>
          <w:b/>
          <w:spacing w:val="40"/>
          <w:sz w:val="52"/>
        </w:rPr>
      </w:pPr>
      <w:r>
        <w:rPr>
          <w:rFonts w:eastAsia="幼圆"/>
          <w:b/>
          <w:spacing w:val="40"/>
          <w:sz w:val="52"/>
        </w:rPr>
        <w:drawing>
          <wp:inline distT="0" distB="0" distL="114300" distR="114300">
            <wp:extent cx="3180715" cy="719455"/>
            <wp:effectExtent l="0" t="0" r="635" b="4445"/>
            <wp:docPr id="1" name="Picture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ut_new_log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Title"/>
        <w:keepNext/>
        <w:keepLines w:val="0"/>
        <w:pageBreakBefore w:val="0"/>
        <w:widowControl/>
        <w:spacing w:before="0" w:after="680" w:line="720" w:lineRule="exact"/>
        <w:ind w:firstLine="0" w:left="0" w:right="0"/>
        <w:jc w:val="center"/>
        <w:snapToGrid w:val="0"/>
      </w:pPr>
      <w:r>
        <w:rPr>
          <w:rFonts w:ascii="Times New Roman" w:hAnsi="Times New Roman" w:eastAsia="黑体"/>
          <w:b/>
          <w:sz w:val="56"/>
        </w:rPr>
        <w:t>研究生学位（毕业）论文</w:t>
        <w:br/>
        <w:t>中期考核表</w:t>
      </w:r>
    </w:p>
    <w:p>
      <w:pPr>
        <w:keepNext/>
        <w:keepLines w:val="0"/>
        <w:pageBreakBefore w:val="0"/>
        <w:widowControl/>
        <w:spacing w:before="0" w:after="800" w:line="5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/>
          <w:sz w:val="36"/>
        </w:rPr>
        <w:t>面向大模型的数据与参数</w:t>
        <w:br/>
        <w:t>联合高效微调算法研究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90" w:type="dxa"/>
          <w:bottom w:w="0" w:type="dxa"/>
          <w:right w:w="90" w:type="dxa"/>
        </w:tblCellMar>
      </w:tblPr>
      <w:tblGrid>
        <w:gridCol w:w="2041"/>
        <w:gridCol w:w="2948"/>
      </w:tblGrid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研 究 生：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林肯达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指导教师：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杨磊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号：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202421045825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院（系）：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软件学院</w:t>
            </w:r>
          </w:p>
        </w:tc>
      </w:tr>
      <w:tr>
        <w:trPr/>
        <w:tc>
          <w:tcPr>
            <w:tcW w:type="dxa" w:w="2041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</w:t>
            </w:r>
          </w:p>
        </w:tc>
        <w:tc>
          <w:tcPr>
            <w:tcW w:type="dxa" w:w="2948"/>
          </w:tcPr>
          <w:p>
            <w:pPr>
              <w:keepNext/>
              <w:keepLines w:val="0"/>
              <w:pageBreakBefore w:val="0"/>
              <w:widowControl/>
              <w:spacing w:before="0" w:after="120" w:line="440" w:lineRule="exact"/>
              <w:ind w:firstLine="0" w:left="0" w:right="0"/>
              <w:jc w:val="center"/>
              <w:snapToGrid w:val="0"/>
              <w:pBdr>
                <w:bottom w:val="single" w:sz="4" w:space="1"/>
              </w:pBdr>
            </w:pPr>
            <w:r>
              <w:rPr>
                <w:rFonts w:ascii="Times New Roman" w:hAnsi="Times New Roman" w:eastAsia="宋体"/>
                <w:b w:val="0"/>
                <w:sz w:val="28"/>
              </w:rPr>
              <w:t>软件工程</w:t>
            </w:r>
          </w:p>
        </w:tc>
      </w:tr>
    </w:tbl>
    <w:p>
      <w:pPr>
        <w:keepNext/>
        <w:keepLines w:val="0"/>
        <w:pageBreakBefore w:val="0"/>
        <w:widowControl/>
        <w:spacing w:before="420" w:after="94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□ 博士研究生       ☑ 硕士研究生</w:t>
      </w:r>
    </w:p>
    <w:p>
      <w:pPr>
        <w:keepNext/>
        <w:keepLines w:val="0"/>
        <w:pageBreakBefore w:val="0"/>
        <w:widowControl/>
        <w:spacing w:before="0" w:after="8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华南理工大学研究生院</w:t>
      </w:r>
    </w:p>
    <w:p>
      <w:pPr>
        <w:keepNext w:val="0"/>
        <w:keepLines w:val="0"/>
        <w:pageBreakBefore w:val="0"/>
        <w:widowControl/>
        <w:spacing w:before="0" w:after="0" w:line="460" w:lineRule="exact"/>
        <w:ind w:firstLine="0" w:left="0" w:right="0"/>
        <w:jc w:val="center"/>
        <w:snapToGrid w:val="0"/>
      </w:pPr>
      <w:r>
        <w:rPr>
          <w:rFonts w:ascii="Times New Roman" w:hAnsi="Times New Roman" w:eastAsia="宋体"/>
          <w:b w:val="0"/>
          <w:sz w:val="28"/>
        </w:rPr>
        <w:t>二〇二六年九月十四日</w:t>
      </w:r>
    </w:p>
    <w:p>
      <w:pPr>
        <w:keepNext/>
        <w:keepLines w:val="0"/>
        <w:pageBreakBefore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一、中期考核工作基本情况</w:t>
      </w:r>
    </w:p>
    <w:tbl>
      <w:tblPr>
        <w:tblStyle w:val="6"/>
        <w:tblW w:w="0" w:type="auto"/>
        <w:jc w:val="center"/>
        <w:tblLayout w:type="fixed"/>
        <w:tblCellMar>
          <w:top w:w="85" w:type="dxa"/>
          <w:left w:w="110" w:type="dxa"/>
          <w:bottom w:w="85" w:type="dxa"/>
          <w:right w:w="11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53"/>
        <w:gridCol w:w="7519"/>
      </w:tblGrid>
      <w:tr>
        <w:trPr>
          <w:trHeight w:val="567" w:hRule="atLeast"/>
          <w:jc w:val="center"/>
          <w:cantSplit w:val="0"/>
        </w:trPr>
        <w:tc>
          <w:tcPr>
            <w:tcW w:w="155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开题报告题目</w:t>
            </w:r>
          </w:p>
        </w:tc>
        <w:tc>
          <w:tcPr>
            <w:tcW w:w="75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面向大模型的数据与参数联合高效微调算法研究</w:t>
            </w:r>
          </w:p>
        </w:tc>
      </w:tr>
      <w:tr>
        <w:trPr>
          <w:trHeight w:val="567" w:hRule="atLeast"/>
          <w:jc w:val="center"/>
          <w:cantSplit w:val="0"/>
        </w:trPr>
        <w:tc>
          <w:tcPr>
            <w:tcW w:w="1553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文献综述题目</w:t>
            </w:r>
          </w:p>
        </w:tc>
        <w:tc>
          <w:tcPr>
            <w:tcW w:w="751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jc w:val="center"/>
          <w:cantSplit w:val="0"/>
        </w:trPr>
        <w:tc>
          <w:tcPr>
            <w:tcW w:w="907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课题研究的创新点：</w:t>
            </w:r>
          </w:p>
          <w:p>
            <w:pPr>
              <w:keepNext w:val="0"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1 背景与动机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语言模型通过指令微调适应下游任务，但大量候选数据会带来较高的训练与评测成本。参数高效微调（PEFT）通过仅更新少量参数降低训练资源需求，数据选择则通过保留更有价值的样本减少数据开销。两者共同影响训练过程：相同样本在不同目标任务、不同更新位置和参数容量下，可能具有不同的训练价值。因此，需要结合目标任务与 PEFT 配置进行数据选择。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现有数据选择方式主要面临两方面局限：语义相似度或统一样本评分难以充分表达配置差异；为每种配置构建专属梯度数据存储，并针对各任务分别评分，虽具有针对性，却会在新增配置时产生较高的重复开销。本课题以多配置场景为研究对象，探索可复用的条件效用估计与高效实验执行，使数据选择与参数更新方式相匹配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2 工作一已形成的方法设计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（1）配置与任务共同条件化的样本效用建模。将样本、PEFT 配置与任务共同作为评分条件，借助共享干预位点建立可比较的信号空间，并以结构化编码区分更新位置、算子、容量及训练配方。在公共表征复用的基础上，为不同目标组合生成各自的候选排序。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多保真监督驱动的可复用评分器。利用共享位点梯度代理提供较大范围的低成本监督，再以少量短更新观测校准代理排序；通过条件调制和交互建模学习样本价值及不确定性，降低为每种配置重新构建完整选择器的需求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效用与语义覆盖兼顾的预算分配。根据各目标的保守评分估计语义簇价值，结合簇规模分配选数配额，缓解全局高分样本过于集中的问题。通过区分离线建模与新增配置开销，研究目标针对性与多配置成本摊销之间的关系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3 工作二拟开展的工程机制研究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在 PCU-Select 方法与实现基础上，拟研究分层缓存与增量复用、公共计算去重与阶段恢复两项机制，构建多配置数据选择与微调实验管理系统。重点解决输入变化后的正确失效、公共产物复用、批量实验隔离和中断恢复问题，以正确性、重复计算量、运行时间和恢复开销进行定量验证。该部分属于下一阶段工作计划。</w:t>
            </w:r>
          </w:p>
        </w:tc>
      </w:tr>
      <w:tr>
        <w:trPr>
          <w:jc w:val="center"/>
          <w:cantSplit w:val="0"/>
        </w:trPr>
        <w:tc>
          <w:tcPr>
            <w:tcW w:w="907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开题以来研究工作总结：</w:t>
            </w:r>
          </w:p>
          <w:p>
            <w:pPr>
              <w:keepNext w:val="0"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1 总体进展与问题定义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开题以来，本人围绕“面向大模型的数据与参数联合高效微调算法研究”，梳理了指令数据选择、参数高效微调和梯度影响估计等研究，逐步将第一项工作聚焦于多种参数高效微调配置下的数据选择问题。目前已形成 PCU-Select 的方法设计、论文稿件与代码实现基础，整理了特征提取、配置注册、条件评分、聚类选数及训练评测等环节，并完成现阶段结果的汇总与分析。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的参数高效微调（PEFT）方法通过低秩增量、逐元素缩放或瓶颈模块等方式更新模型，可训练参数的位置和作用方式不同，样本对目标任务的训练价值也可能随之变化。仅依据语义相似度选择数据，难以反映这种配置差异；为每种配置独立构建梯度数据存储，又会在多配置实验中重复支付较高成本。因此，本项工作关注在复用公共计算的同时，保留数据选择对目标配置与任务的针对性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具体而言，在固定骨干模型和候选数据池的条件下，将样本效用表示为样本 x、PEFT 配置 p 与目标任务 t 的条件函数 u(x,p,t)。给定选数预算 B，学习一个可复用的条件评分器，为每个配置与任务组合独立生成训练子集。方法由离线表征与监督构建、在线条件评分与预算分配两部分组成，其目标是在多配置场景下平衡下游质量与累计选择成本。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2 共享干预位点与三类表征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针对不同 PEFT 方法的参数梯度维度和语义不一致的问题，设计了共享干预位点。方法在八个均匀采样的 Transformer 层上，分别选取注意力输出、前馈网络输出和残差输出，形成 24 个公共位点。通过这些模块输出处的损失梯度描述样本与任务信号，并将不同配置映射至其影响的位点。该设计借助链式法则建立可比较的信号空间，避免直接拼接形状不同的 PEFT 参数梯度。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在此基础上，分别构建样本、任务和 PEFT 的定长表征。样本表征共 848 维，包括冻结语义编码器产生的 768 维向量、描述长度、响应损失、熵与格式的 16 维统计特征，以及 64 维激活摘要。每个目标使用 32 个训练或开发侧示例构成任务摘要，无训练划分的 HumanEval 使用独立代码数据构建摘要，对示例表征求均值得到 848 维任务向量。用于代理标签的位点梯度另行保存，不与任务向量混为一体；任务摘要与最终评测数据保持分离。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PEFT 表征共 128 维，其中 96 维描述 24 个位点上的有效位点掩码和更新算子，另外两组 16 维向量分别编码容量及训练配方。共享位点记录配置作用于何处，算子、容量及配方进一步区分如何更新和更新能力。这样既能复用同一份样本信号，又能保留 LoRA、IA3 与 Adapter 等配置的区别，避免将处于相同模块位置的更新视为等价。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3 多保真效用标签构建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若通过完整微调测量每个样本在每种配置与任务下的效用，监督获取成本将抵消复用收益。为此，设计了梯度代理标签与短更新标签相结合的多保真监督。前者低成本覆盖较多样本，后者用少量直接更新观测修正代理排序偏差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低保真标签依据样本梯度与任务摘要梯度的方向一致性构造。各位点梯度经随机投影压缩为 256 维并归一化；依据目标配置的有效位点及容量分配权重，对各位点的梯度余弦相似度加权求和。再在相同配置与任务条件内进行排序归一化，避免直接比较不同条件下的原始数值。样本侧梯度签名提取后可重复使用，支持为多个目标组合构造监督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高保真标签测量短更新前后任务摘要损失的下降量。针对抽取的样本，分别从基座模型与已开始适应的检查点出发，执行 1 步或 4 步 PEFT 更新；每个小批次由一个目标样本和七个条件匹配的填充样本组成，以降低单样本更新的波动。当前方案配置一万条短更新标签，按覆盖采样、不确定性采样及选择边界采样分阶段分配。在同一配置、任务、起点与更新步数构成的条件组内进行排序归一化，重点补充评分器不确定或临近选数阈值的样本信息。这类标签是局部更新效果的观测，不等同于样本在完整训练中的独立因果贡献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4 条件评分与语义聚类配额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条件评分器分别编码三类输入，利用配置和任务信息对样本特征进行 FiLM 缩放与平移，并以双线性交互描述样本和配置的匹配关系。训练分为两个阶段：先蒸馏梯度代理排序，学习广泛的条件结构；再联合代理监督、短更新排序与回归、不确定性损失进行训练。检查点和选择超参数依据留出的配置与任务组合确定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评分器输出效用预测值及随输入变化的不确定性尺度。在线选择使用 q=μ−0.2σ 作为保守排序分数，降低预测噪声较大样本的优先级。这里的不确定性项用于排序惩罚，并非统计置信区间。共享评分器接收不同目标条件后重新计算分数，因此各配置和任务仍拥有各自的候选排序与训练子集。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为缓解全局高分样本过于相似的问题，方法在语义空间聚类后分配预算。30 万条候选数据按既定规则划分为 547 个簇，以簇内前 10% 样本的平均保守分数衡量簇价值，并结合簇规模分配配额；先对簇价值取正部，再按价值与规模分别取 0.6 和 0.4 次幂。随后在各簇内按分数选取样本，通过确定性余数处理使总量满足预算。该过程兼顾目标效用与语义覆盖，在当前主实验中生成 3 万条样本的子集。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5 实验设置与当前稿件结果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当前实验方案采用 Llama-2-7B 骨干，覆盖 GSM8K、HumanEval、MMLU 和 TyDiQA 四个任务，分别采用精确匹配率、Pass@1、准确率与 F1；在 30 万条混合指令候选数据中选择 10%。主对比包括五种已见 PEFT 配置，以及 Random、RDS+、共享梯度 Influence 和逐配置 LESS 基线。各方法保持骨干、微调配方、训练步数及评测协议一致，以考察所选数据的影响。以下数值为实验结果汇总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四任务与五配置的原生百分制指标宏平均中，PCU-Select 为 35.18，逐配置 LESS 为 35.14，差值为 0.04 个点，整体表现接近；RDS+ 与 Influence 分别为 34.44 和 34.68。分任务看，PCU-Select 相对 LESS 在 GSM8K 和 MMLU 上分别增加 0.29 和 0.67 个指标点，在 HumanEval 和 TyDiQA 上分别减少 0.04 和 0.77 个点。因此，当前结论应限定为所考察配置集合上的平均质量接近，不能扩展为所有任务均占优。</w:t>
            </w:r>
          </w:p>
          <w:p>
            <w:pPr>
              <w:keepNext/>
              <w:keepLines w:val="0"/>
              <w:pageBreakBefore w:val="0"/>
              <w:widowControl/>
              <w:spacing w:before="60" w:after="80" w:line="32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表 1  当前稿件主表宏平均汇总（四任务 × 五配置）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CellMar>
                <w:top w:w="65" w:type="dxa"/>
                <w:left w:w="90" w:type="dxa"/>
                <w:bottom w:w="65" w:type="dxa"/>
                <w:right w:w="90" w:type="dxa"/>
              </w:tblCellMar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</w:tblPr>
            <w:tblGrid>
              <w:gridCol w:w="3231"/>
              <w:gridCol w:w="2154"/>
              <w:gridCol w:w="3231"/>
            </w:tblGrid>
            <w:tr>
              <w:trPr>
                <w:tblHeader/>
                <w:cantSplit/>
              </w:trPr>
              <w:tc>
                <w:tcPr>
                  <w:tcW w:type="dxa" w:w="3231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方法</w:t>
                  </w:r>
                </w:p>
              </w:tc>
              <w:tc>
                <w:tcPr>
                  <w:tcW w:type="dxa" w:w="2154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宏平均</w:t>
                  </w:r>
                </w:p>
              </w:tc>
              <w:tc>
                <w:tcPr>
                  <w:tcW w:type="dxa" w:w="3231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相对 PCU-Select 的差值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Random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32.29</w:t>
                  </w:r>
                </w:p>
              </w:tc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−2.89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RDS+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34.44</w:t>
                  </w:r>
                </w:p>
              </w:tc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−0.74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Influence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34.68</w:t>
                  </w:r>
                </w:p>
              </w:tc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−0.50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逐配置 LESS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35.14</w:t>
                  </w:r>
                </w:p>
              </w:tc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−0.04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PCU-Select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35.18</w:t>
                  </w:r>
                </w:p>
              </w:tc>
              <w:tc>
                <w:tcPr>
                  <w:tcW w:type="dxa" w:w="3231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—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pacing w:before="0" w:after="0" w:line="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pacing w:before="0" w:after="80" w:line="28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18"/>
              </w:rPr>
              <w:t>注：不同任务原生百分制指标的宏平均，仅用于当前统一实验协议下的汇总比较。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消融分析采用 GSM8K、HumanEval 与两个代表配置，完整方法的宏平均为 19.72，其统计范围不同于主表。移除 PEFT 编码、改为全局 Top-k、仅使用梯度代理标签后，分别下降 1.37、1.08 和 0.85 个点；移除任务表征下降 0.82 个点。这些汇总为条件信息、多保真监督与配额选择的作用提供了初步分析依据，也提示需要结合不同任务进一步检查各模块的适用性。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成本分析将一次性离线开销与新增配置开销分开。对无须额外校准的受支持配置，设 P 为需要服务的 PEFT 配置数，每个配置均对应四个任务，则稿件中的累计选择成本为 PCU-Select：144+1.51P，LESS：63.2P，单位为 GPU 小时。两者在约 2.33 个配置处持平，即服务到第三个完整配置时开始体现摊销收益。五配置时分别约为 151.6 和 316.0 GPU 小时。约 42 倍的差异仅指新增四任务配置的边际选数成本；上述计算包含 PCU-Select 的离线开销，但不包含共同的下游训练，不能解释为端到端训练加速倍数。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6 当前不足与研究边界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实验记录关联论文表格、数据版本、配置、随机种子与运行产物，并说明统一的评测协议。后续将优先复核主表、任务差异及成本分项，进一步分析 TyDiQA 上的不足，同时检查选择预算和监督分配对质量与成本的影响。结合独立重复结果与任务差异，说明结论的适用范围。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方法目前限定于固定骨干及其兼容的表征、位点与配置空间。与已见结构接近的新配置可采用直接评分；同一家族内较大偏移或未见家族，需要在存在兼容标签时进行小规模校准，否则采用逐目标选择方法。对跨骨干迁移及未核实的新家族实验，仍需重新验证。共享位点是可复用的近似信号空间，多保真标签也不能完全替代最终下游评测。因此，下一阶段将继续完善支持范围与回退规则，使质量、适用条件和复用收益的结论保持一致。</w:t>
            </w:r>
          </w:p>
          <w:p>
            <w:pPr>
              <w:keepNext/>
              <w:keepLines w:val="0"/>
              <w:pageBreakBefore w:val="0"/>
              <w:widowControl/>
              <w:spacing w:before="14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7 工作二：系统研究内容与实施方案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第二项工作拟开展“基于 PCU-Select 的多配置数据选择与微调实验管理系统”研究，直接复用第一项工作的评分器、样本特征与任务表征、PEFT 编码、聚类配额算法及训练评测脚本。研究重点从单次选择扩展到反复开展多任务、多预算、多训练种子实验时的产物管理与执行效率，预期形成一套可运行系统和两项可定量验证的工程机制。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分层缓存与增量复用。为样本特征、任务表示、评分、聚类及选择结果建立依赖清单，记录样本内容摘要、模型与评分器版本、预处理配置、随机种子、候选顺序和产物校验值。输入变化后沿依赖关系只重算受影响节点，避免同名样本内容变化或预算不同导致错误命中旧结果。首版固定评分器版本，并将版本显式写入产物依赖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复用规则包括：仅改变选数预算时，复用评分和聚类，重新计算配额与子集；选择种子不变而仅改变下游训练种子时，复用选择结果。增加候选样本且评分条件不变时，复用旧样本的兼容特征与逐样本评分，仅补算新增样本；完整候选池的聚类、配额和子集仍需重算。候选顺序变化亦触发相应依赖检查，以可追溯的输入标识约束复用范围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公共计算去重与阶段恢复。将实验请求拆解为特征、任务表示、评分、聚类、选数、训练和评测节点，输入依赖完全相同的节点仅执行一次。采用临时文件原子写入、校验与完成标记，结合请求独立目录，避免半成品被复用及结果相互覆盖。中断后保留已完成且校验通过的产物，仅重跑失败或未完成阶段；首版实现阶段级恢复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以同一数据池上的两种 PEFT、两个任务、三个预算及两个训练种子为例，共形成 24 次训练实验。固定特征与评分器版本、聚类配置及选择种子后，计划共享四份目标评分和一份聚类，生成十二份目标子集，再分别完成二十四次训练。各任务和配置保留自己的子集；公共节点数量减少并不直接等同于端到端加速倍数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首版范围限定为单工作节点、任务队列、元数据索引和本地产物库，并提供简洁控制台。操作流程包括登记数据与任务、提交实验矩阵、查看复用计划、执行选数、按需训练评测及导出报告。继续沿用第一项工作已验证的骨干与 PEFT 支持范围，优先完成上述机制的正确性与有效性验证。</w:t>
            </w:r>
          </w:p>
          <w:p>
            <w:pPr>
              <w:keepNext/>
              <w:keepLines w:val="0"/>
              <w:pageBreakBefore w:val="0"/>
              <w:widowControl/>
              <w:spacing w:before="600" w:after="8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8 验证方案与下一阶段工作计划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系统验证拟设置现有批量脚本、增加依赖缓存、完整系统三组方案，公平保留现有脚本已具备的特征缓存能力。对比冷启动、多预算和多训练种子复用、追加 1%、5%、10% 候选数据等场景，并检查同名样本内容变化、候选顺序变化等失效情况。复用所得评分和子集需与相同输入下的全量重算结果一致，再统计节点执行次数、选择阶段时间、端到端时间、存储占用及校验管理开销。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恢复验证拟在评分、子集写入和训练等阶段注入中断，检查未完成产物是否被隔离、已完成公共节点是否正确复用、失败请求是否影响其他实验，以及恢复所需的重算量。工程收益以实测结果报告，不预设固定加速倍数。工作一同步推进原始日志核验、独立重复实验、任务差异分析及需要额外校准场景的成本补充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下一阶段拟以 2026 年 9 月 14 日至 11 月 8 日为八周实施周期，按下表推进。各阶段以可运行产物和可核验记录为验收依据，并根据实验资源与导师指导适当调整。</w:t>
            </w:r>
          </w:p>
          <w:p>
            <w:pPr>
              <w:keepNext/>
              <w:keepLines w:val="0"/>
              <w:pageBreakBefore w:val="0"/>
              <w:widowControl/>
              <w:spacing w:before="60" w:after="80" w:line="32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表 2  下一阶段工作安排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CellMar>
                <w:top w:w="65" w:type="dxa"/>
                <w:left w:w="90" w:type="dxa"/>
                <w:bottom w:w="65" w:type="dxa"/>
                <w:right w:w="90" w:type="dxa"/>
              </w:tblCellMar>
              <w:tblBorders>
                <w:top w:val="single" w:sz="4" w:color="808080"/>
                <w:left w:val="single" w:sz="4" w:color="808080"/>
                <w:bottom w:val="single" w:sz="4" w:color="808080"/>
                <w:right w:val="single" w:sz="4" w:color="808080"/>
                <w:insideH w:val="single" w:sz="4" w:color="808080"/>
                <w:insideV w:val="single" w:sz="4" w:color="808080"/>
              </w:tblBorders>
            </w:tblPr>
            <w:tblGrid>
              <w:gridCol w:w="1417"/>
              <w:gridCol w:w="3628"/>
              <w:gridCol w:w="3572"/>
            </w:tblGrid>
            <w:tr>
              <w:trPr>
                <w:tblHeader/>
                <w:cantSplit/>
              </w:trPr>
              <w:tc>
                <w:tcPr>
                  <w:tcW w:type="dxa" w:w="1417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时间</w:t>
                  </w:r>
                </w:p>
              </w:tc>
              <w:tc>
                <w:tcPr>
                  <w:tcW w:type="dxa" w:w="3628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主要工作</w:t>
                  </w:r>
                </w:p>
              </w:tc>
              <w:tc>
                <w:tcPr>
                  <w:tcW w:type="dxa" w:w="3572"/>
                  <w:shd w:fill="F2F2F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/>
                      <w:sz w:val="20"/>
                    </w:rPr>
                    <w:t>阶段产出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第 1—2 周</w:t>
                    <w:br/>
                    <w:t>9.14—9.27</w:t>
                  </w:r>
                </w:p>
              </w:tc>
              <w:tc>
                <w:tcPr>
                  <w:tcW w:type="dxa" w:w="3628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left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梳理现有接口与产物；设计依赖键、目录和元数据；整理工作一实验记录。</w:t>
                  </w:r>
                </w:p>
              </w:tc>
              <w:tc>
                <w:tcPr>
                  <w:tcW w:type="dxa" w:w="357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left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完成依赖规范及最小执行流程，建立稿件结果核验清单。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第 3—4 周</w:t>
                    <w:br/>
                    <w:t>9.28—10.11</w:t>
                  </w:r>
                </w:p>
              </w:tc>
              <w:tc>
                <w:tcPr>
                  <w:tcW w:type="dxa" w:w="3628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left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实现分层缓存与增量计算；验证预算、种子、样本追加和内容变化规则。</w:t>
                  </w:r>
                </w:p>
              </w:tc>
              <w:tc>
                <w:tcPr>
                  <w:tcW w:type="dxa" w:w="357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left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完成缓存原型及失效验证，形成全量重算一致性记录。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第 5—6 周</w:t>
                    <w:br/>
                    <w:t>10.12—10.25</w:t>
                  </w:r>
                </w:p>
              </w:tc>
              <w:tc>
                <w:tcPr>
                  <w:tcW w:type="dxa" w:w="3628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left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实现公共节点去重、任务队列、阶段恢复及控制台；运行 24 次训练实验矩阵。</w:t>
                  </w:r>
                </w:p>
              </w:tc>
              <w:tc>
                <w:tcPr>
                  <w:tcW w:type="dxa" w:w="357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形成可运行系统，完成隔离与中断恢复测试。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17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center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第 7—8 周</w:t>
                    <w:br/>
                    <w:t>10.26—11.8</w:t>
                  </w:r>
                </w:p>
              </w:tc>
              <w:tc>
                <w:tcPr>
                  <w:tcW w:type="dxa" w:w="3628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left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完成三组对比与开销分析；整理工作一实验记录；整理系统报告与学位论文。</w:t>
                  </w:r>
                </w:p>
              </w:tc>
              <w:tc>
                <w:tcPr>
                  <w:tcW w:type="dxa" w:w="3572"/>
                  <w:vAlign w:val="center"/>
                </w:tcPr>
                <w:p>
                  <w:pPr>
                    <w:keepNext w:val="0"/>
                    <w:keepLines w:val="0"/>
                    <w:pageBreakBefore w:val="0"/>
                    <w:widowControl/>
                    <w:spacing w:before="0" w:after="0" w:line="300" w:lineRule="exact"/>
                    <w:ind w:firstLine="0" w:left="0" w:right="0"/>
                    <w:jc w:val="left"/>
                    <w:snapToGrid w:val="0"/>
                  </w:pPr>
                  <w:r>
                    <w:rPr>
                      <w:rFonts w:ascii="Times New Roman" w:hAnsi="Times New Roman" w:eastAsia="宋体"/>
                      <w:b w:val="0"/>
                      <w:sz w:val="20"/>
                    </w:rPr>
                    <w:t>形成机制验证结果、系统说明和学位论文相关章节。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spacing w:before="0" w:after="0" w:line="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"/>
              </w:rPr>
            </w:r>
          </w:p>
          <w:p>
            <w:pPr>
              <w:keepNext w:val="0"/>
              <w:keepLines w:val="0"/>
              <w:pageBreakBefore w:val="0"/>
              <w:widowControl/>
              <w:spacing w:before="8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预期在上述阶段形成完整的算法—系统研究链条：以工作一回答不同配置应选择哪些数据，以工作二保证多配置实验中公共计算可复用、结果可追溯、失败可恢复，并以统一实验记录支撑学位论文撰写。</w:t>
            </w:r>
          </w:p>
        </w:tc>
      </w:tr>
      <w:tr>
        <w:trPr>
          <w:jc w:val="center"/>
          <w:cantSplit w:val="0"/>
        </w:trPr>
        <w:tc>
          <w:tcPr>
            <w:tcW w:w="9072" w:type="dxa"/>
            <w:gridSpan w:val="2"/>
            <w:vAlign w:val="top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/>
                <w:sz w:val="21"/>
              </w:rPr>
              <w:t>与课题相关的学术成果情况：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已形成英文论文稿《PCU-Select: Amortizing Target-Specific Data Selection Across PEFT Configurations》，围绕条件效用建模、共享干预位点、多保真监督和多配置成本摊销组织了方法与实验章节，目前继续完善原始实验记录核验、结果分析与论证。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60" w:line="32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已形成与论文配套的算法实现和训练评测脚本基础，涵盖特征提取、PEFT 配置注册、条件评分、聚类配额选数及结果汇总，为第二项系统工作提供可复用模块。第二项系统及其机制验证属于计划成果，尚待下一阶段完成。</w:t>
            </w:r>
          </w:p>
        </w:tc>
      </w:tr>
    </w:tbl>
    <w:p>
      <w:pPr>
        <w:keepNext/>
        <w:keepLines w:val="0"/>
        <w:pageBreakBefore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二、中期考核作者承诺及导师意见</w:t>
      </w:r>
    </w:p>
    <w:tbl>
      <w:tblPr>
        <w:tblStyle w:val="6"/>
        <w:tblW w:w="0" w:type="auto"/>
        <w:jc w:val="center"/>
        <w:tblLayout w:type="fixed"/>
        <w:tblCellMar>
          <w:top w:w="150" w:type="dxa"/>
          <w:left w:w="140" w:type="dxa"/>
          <w:bottom w:w="130" w:type="dxa"/>
          <w:right w:w="14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9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atLeast"/>
          <w:jc w:val="center"/>
          <w:cantSplit/>
        </w:trPr>
        <w:tc>
          <w:tcPr>
            <w:tcW w:w="8946" w:type="dxa"/>
          </w:tcPr>
          <w:p>
            <w:pPr>
              <w:keepNext w:val="0"/>
              <w:keepLines w:val="0"/>
              <w:pageBreakBefore w:val="0"/>
              <w:widowControl/>
              <w:spacing w:before="0" w:after="560" w:line="46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我保证上述填报内容的真实性，并将在导师指导下，严格遵守学校的有关规定，按计划认真开展学位（毕业）论文研究工作。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30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研究生签名：________________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5" w:hRule="atLeast"/>
          <w:jc w:val="center"/>
          <w:cantSplit/>
        </w:trPr>
        <w:tc>
          <w:tcPr>
            <w:tcW w:w="8946" w:type="dxa"/>
          </w:tcPr>
          <w:p>
            <w:pPr>
              <w:keepNext w:val="0"/>
              <w:keepLines w:val="0"/>
              <w:pageBreakBefore w:val="0"/>
              <w:widowControl/>
              <w:spacing w:before="0" w:after="560" w:line="460" w:lineRule="exact"/>
              <w:ind w:firstLine="42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我已审阅过中期考核的全部内容，同意研究生参加中期考核。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30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460" w:lineRule="exact"/>
              <w:ind w:firstLine="0" w:left="0" w:right="0"/>
              <w:jc w:val="right"/>
              <w:snapToGrid w:val="0"/>
            </w:pPr>
            <w:r>
              <w:rPr>
                <w:rFonts w:ascii="Times New Roman" w:hAnsi="Times New Roman" w:eastAsia="宋体"/>
                <w:b w:val="0"/>
                <w:sz w:val="24"/>
              </w:rPr>
              <w:t>年    月    日</w:t>
            </w:r>
          </w:p>
        </w:tc>
      </w:tr>
    </w:tbl>
    <w:p>
      <w:pPr>
        <w:keepNext/>
        <w:keepLines w:val="0"/>
        <w:pageBreakBefore/>
        <w:widowControl/>
        <w:snapToGrid w:val="0"/>
        <w:spacing w:before="0" w:beforeLines="100" w:after="180" w:afterLines="30" w:line="400" w:lineRule="exact"/>
        <w:ind w:firstLine="0" w:left="0" w:right="0"/>
        <w:jc w:val="both"/>
        <w:snapToGrid w:val="0"/>
      </w:pPr>
      <w:r>
        <w:rPr>
          <w:rFonts w:ascii="Times New Roman" w:hAnsi="Times New Roman" w:eastAsia="仿宋_GB2312"/>
          <w:b/>
          <w:sz w:val="24"/>
        </w:rPr>
        <w:t>三、中期考核审核意见</w:t>
      </w:r>
    </w:p>
    <w:tbl>
      <w:tblPr>
        <w:tblStyle w:val="5"/>
        <w:tblW w:w="9228" w:type="dxa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041"/>
        <w:gridCol w:w="567"/>
        <w:gridCol w:w="1701"/>
        <w:gridCol w:w="2299"/>
        <w:gridCol w:w="3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9228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中期考核小组成员名单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组成人员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姓  名</w:t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职  称</w:t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组长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  <w:cantSplit/>
        </w:trPr>
        <w:tc>
          <w:tcPr>
            <w:tcW w:w="1608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</w:t>
            </w:r>
          </w:p>
        </w:tc>
        <w:tc>
          <w:tcPr>
            <w:tcW w:w="170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229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362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  <w:jc w:val="center"/>
          <w:cantSplit/>
        </w:trPr>
        <w:tc>
          <w:tcPr>
            <w:tcW w:w="104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审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核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意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见</w:t>
            </w:r>
          </w:p>
        </w:tc>
        <w:tc>
          <w:tcPr>
            <w:tcW w:w="8187" w:type="dxa"/>
            <w:gridSpan w:val="4"/>
            <w:tcBorders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8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pacing w:before="0" w:after="0" w:line="36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具体意见：</w:t>
            </w:r>
          </w:p>
          <w:p>
            <w:pPr>
              <w:keepNext w:val="0"/>
              <w:keepLines w:val="0"/>
              <w:pageBreakBefore w:val="0"/>
              <w:widowControl/>
              <w:spacing w:before="1480" w:after="0" w:line="36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审核结果：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□ 通过         □ 暂缓通过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组长签名：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成员签名：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  <w:cantSplit/>
        </w:trPr>
        <w:tc>
          <w:tcPr>
            <w:tcW w:w="1041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院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（系）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意</w:t>
            </w:r>
          </w:p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见</w:t>
            </w:r>
          </w:p>
        </w:tc>
        <w:tc>
          <w:tcPr>
            <w:tcW w:w="8187" w:type="dxa"/>
            <w:gridSpan w:val="4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主管领导签名：                         院（系）公章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  <w:cantSplit/>
        </w:trPr>
        <w:tc>
          <w:tcPr>
            <w:tcW w:w="1041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240" w:lineRule="exact"/>
              <w:ind w:firstLine="0" w:left="0" w:right="0"/>
              <w:jc w:val="both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w="8187" w:type="dxa"/>
            <w:gridSpan w:val="4"/>
            <w:tcBorders>
              <w:top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pacing w:before="0" w:after="0" w:line="340" w:lineRule="exact"/>
              <w:ind w:firstLine="0" w:left="0" w:right="0"/>
              <w:jc w:val="center"/>
              <w:snapToGrid w:val="0"/>
            </w:pPr>
            <w:r>
              <w:rPr>
                <w:rFonts w:ascii="Times New Roman" w:hAnsi="Times New Roman" w:eastAsia="宋体"/>
                <w:b w:val="0"/>
                <w:sz w:val="21"/>
              </w:rPr>
              <w:t>年    月    日</w:t>
            </w:r>
          </w:p>
        </w:tc>
      </w:tr>
    </w:tbl>
    <w:sectPr>
      <w:headerReference r:id="rId4" w:type="first"/>
      <w:footerReference r:id="rId6" w:type="first"/>
      <w:headerReference r:id="rId3" w:type="default"/>
      <w:footerReference r:id="rId5" w:type="default"/>
      <w:type w:val="continuous"/>
      <w:pgSz w:w="11906" w:h="16838"/>
      <w:pgMar w:top="1418" w:right="1418" w:bottom="1418" w:left="1418" w:header="851" w:footer="851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spacing w:before="0" w:after="0" w:line="300" w:lineRule="exact"/>
      <w:ind w:firstLine="0" w:left="0" w:right="0"/>
      <w:jc w:val="center"/>
      <w:snapToGrid w:val="0"/>
    </w:pPr>
    <w:r>
      <w:rPr>
        <w:rFonts w:ascii="Times New Roman" w:hAnsi="Times New Roman" w:eastAsia="宋体"/>
        <w:b w:val="0"/>
        <w:sz w:val="21"/>
      </w:rPr>
    </w: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 PAGE </w:instrText>
    </w:r>
    <w:r>
      <w:rPr>
        <w:rFonts w:ascii="Times New Roman" w:hAnsi="Times New Roman" w:eastAsia="宋体"/>
        <w:b w:val="0"/>
        <w:sz w:val="21"/>
      </w:rPr>
      <w:fldChar w:fldCharType="separate"/>
    </w:r>
    <w:r>
      <w:rPr>
        <w:rFonts w:ascii="Times New Roman" w:hAnsi="Times New Roman" w:eastAsia="宋体"/>
        <w:b w:val="0"/>
        <w:sz w:val="21"/>
      </w:rPr>
      <w:t>1</w:t>
    </w:r>
    <w:r>
      <w:rPr>
        <w:rFonts w:ascii="Times New Roman" w:hAnsi="Times New Roman" w:eastAsia="宋体"/>
        <w:b w:val="0"/>
        <w:sz w:val="21"/>
      </w:rPr>
      <w:fldChar w:fldCharType="end"/>
    </w: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B1A46"/>
    <w:multiLevelType w:val="singleLevel"/>
    <w:tmpl w:val="A47B1A4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55A938B"/>
    <w:multiLevelType w:val="singleLevel"/>
    <w:tmpl w:val="055A93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600" w:right="631" w:firstLine="460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上海交通大学研究生院</Company>
  <Pages>8</Pages>
  <Words>6286</Words>
  <Characters>6710</Characters>
  <Lines>6</Lines>
  <Paragraphs>1</Paragraphs>
  <TotalTime>36</TotalTime>
  <ScaleCrop>false</ScaleCrop>
  <LinksUpToDate>false</LinksUpToDate>
  <CharactersWithSpaces>7219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2007-12-05T09:05:00Z</dcterms:created>
  <dc:creator>林肯达</dc:creator>
  <cp:lastModifiedBy>林肯达</cp:lastModifiedBy>
  <cp:lastPrinted>2007-11-12T08:24:00Z</cp:lastPrinted>
  <dcterms:modified xsi:type="dcterms:W3CDTF">2023-12-13T11:26:50Z</dcterms:modified>
  <dc:title>研究生学位（毕业）论文中期考核表</dc:title>
  <cp:revision>7</cp:revision>
  <dc:subject>面向大模型的数据与参数联合高效微调算法研究</dc:subject>
  <dc:description/>
  <cp:keywords>PCU-Select；中期考核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7055786DF92143B1A30021A70B54CA7B</vt:lpwstr>
  </property>
</Properties>
</file>