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before="300" w:after="800" w:line="240" w:lineRule="auto"/>
        <w:ind w:firstLine="0"/>
        <w:jc w:val="center"/>
        <w:rPr>
          <w:rFonts w:eastAsia="幼圆"/>
          <w:b/>
          <w:spacing w:val="40"/>
          <w:sz w:val="52"/>
        </w:rPr>
      </w:pPr>
      <w:r>
        <w:rPr>
          <w:rFonts w:eastAsia="幼圆"/>
          <w:b/>
          <w:spacing w:val="40"/>
          <w:sz w:val="52"/>
        </w:rPr>
        <w:drawing>
          <wp:inline distT="0" distB="0" distL="114300" distR="114300">
            <wp:extent cx="3180715" cy="719455"/>
            <wp:effectExtent l="0" t="0" r="635" b="4445"/>
            <wp:docPr id="1" name="Picture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ut_new_logo2"/>
                    <pic:cNvPicPr>
                      <a:picLocks noChangeAspect="1"/>
                    </pic:cNvPicPr>
                  </pic:nvPicPr>
                  <pic:blipFill>
                    <a:blip r:embed="rId8"/>
                    <a:stretch>
                      <a:fillRect/>
                    </a:stretch>
                  </pic:blipFill>
                  <pic:spPr>
                    <a:xfrm>
                      <a:off x="0" y="0"/>
                      <a:ext cx="3180715" cy="719455"/>
                    </a:xfrm>
                    <a:prstGeom prst="rect">
                      <a:avLst/>
                    </a:prstGeom>
                    <a:noFill/>
                    <a:ln>
                      <a:noFill/>
                    </a:ln>
                  </pic:spPr>
                </pic:pic>
              </a:graphicData>
            </a:graphic>
          </wp:inline>
        </w:drawing>
      </w:r>
    </w:p>
    <w:p>
      <w:pPr>
        <w:pStyle w:val="Title"/>
        <w:keepNext/>
        <w:keepLines w:val="0"/>
        <w:pageBreakBefore w:val="0"/>
        <w:widowControl/>
        <w:spacing w:before="0" w:after="680" w:line="720" w:lineRule="exact"/>
        <w:ind w:firstLine="0" w:left="0" w:right="0"/>
        <w:jc w:val="center"/>
        <w:snapToGrid w:val="0"/>
      </w:pPr>
      <w:r>
        <w:rPr>
          <w:rFonts w:ascii="Times New Roman" w:hAnsi="Times New Roman" w:eastAsia="黑体"/>
          <w:b/>
          <w:sz w:val="56"/>
        </w:rPr>
        <w:t>研究生学位（毕业）论文</w:t>
        <w:br/>
        <w:t>中期考核表</w:t>
      </w:r>
    </w:p>
    <w:p>
      <w:pPr>
        <w:keepNext/>
        <w:keepLines w:val="0"/>
        <w:pageBreakBefore w:val="0"/>
        <w:widowControl/>
        <w:spacing w:before="0" w:after="800" w:line="560" w:lineRule="exact"/>
        <w:ind w:firstLine="0" w:left="0" w:right="0"/>
        <w:jc w:val="center"/>
        <w:snapToGrid w:val="0"/>
      </w:pPr>
      <w:r>
        <w:rPr>
          <w:rFonts w:ascii="Times New Roman" w:hAnsi="Times New Roman" w:eastAsia="宋体"/>
          <w:b/>
          <w:sz w:val="36"/>
        </w:rPr>
        <w:t>面向大模型的数据与参数</w:t>
        <w:br/>
        <w:t>联合高效微调算法研究</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CellMar>
          <w:top w:w="0" w:type="dxa"/>
          <w:left w:w="90" w:type="dxa"/>
          <w:bottom w:w="0" w:type="dxa"/>
          <w:right w:w="90" w:type="dxa"/>
        </w:tblCellMar>
      </w:tblPr>
      <w:tblGrid>
        <w:gridCol w:w="2041"/>
        <w:gridCol w:w="2948"/>
      </w:tblGrid>
      <w:tr>
        <w:trPr/>
        <w:tc>
          <w:tcPr>
            <w:tcW w:type="dxa" w:w="2041"/>
          </w:tcPr>
          <w:p>
            <w:pPr>
              <w:keepNext/>
              <w:keepLines w:val="0"/>
              <w:pageBreakBefore w:val="0"/>
              <w:widowControl/>
              <w:spacing w:before="0" w:after="120" w:line="440" w:lineRule="exact"/>
              <w:ind w:firstLine="0" w:left="0" w:right="0"/>
              <w:jc w:val="right"/>
              <w:snapToGrid w:val="0"/>
            </w:pPr>
            <w:r>
              <w:rPr>
                <w:rFonts w:ascii="Times New Roman" w:hAnsi="Times New Roman" w:eastAsia="宋体"/>
                <w:b w:val="0"/>
                <w:sz w:val="28"/>
              </w:rPr>
              <w:t>研 究 生：</w:t>
            </w:r>
          </w:p>
        </w:tc>
        <w:tc>
          <w:tcPr>
            <w:tcW w:type="dxa" w:w="2948"/>
          </w:tcPr>
          <w:p>
            <w:pPr>
              <w:keepNext/>
              <w:keepLines w:val="0"/>
              <w:pageBreakBefore w:val="0"/>
              <w:widowControl/>
              <w:spacing w:before="0" w:after="120" w:line="440" w:lineRule="exact"/>
              <w:ind w:firstLine="0" w:left="0" w:right="0"/>
              <w:jc w:val="center"/>
              <w:snapToGrid w:val="0"/>
              <w:pBdr>
                <w:bottom w:val="single" w:sz="4" w:space="1"/>
              </w:pBdr>
            </w:pPr>
            <w:r>
              <w:rPr>
                <w:rFonts w:ascii="Times New Roman" w:hAnsi="Times New Roman" w:eastAsia="宋体"/>
                <w:b w:val="0"/>
                <w:sz w:val="28"/>
              </w:rPr>
              <w:t>林肯达</w:t>
            </w:r>
          </w:p>
        </w:tc>
      </w:tr>
      <w:tr>
        <w:trPr/>
        <w:tc>
          <w:tcPr>
            <w:tcW w:type="dxa" w:w="2041"/>
          </w:tcPr>
          <w:p>
            <w:pPr>
              <w:keepNext/>
              <w:keepLines w:val="0"/>
              <w:pageBreakBefore w:val="0"/>
              <w:widowControl/>
              <w:spacing w:before="0" w:after="120" w:line="440" w:lineRule="exact"/>
              <w:ind w:firstLine="0" w:left="0" w:right="0"/>
              <w:jc w:val="right"/>
              <w:snapToGrid w:val="0"/>
            </w:pPr>
            <w:r>
              <w:rPr>
                <w:rFonts w:ascii="Times New Roman" w:hAnsi="Times New Roman" w:eastAsia="宋体"/>
                <w:b w:val="0"/>
                <w:sz w:val="28"/>
              </w:rPr>
              <w:t>指导教师：</w:t>
            </w:r>
          </w:p>
        </w:tc>
        <w:tc>
          <w:tcPr>
            <w:tcW w:type="dxa" w:w="2948"/>
          </w:tcPr>
          <w:p>
            <w:pPr>
              <w:keepNext/>
              <w:keepLines w:val="0"/>
              <w:pageBreakBefore w:val="0"/>
              <w:widowControl/>
              <w:spacing w:before="0" w:after="120" w:line="440" w:lineRule="exact"/>
              <w:ind w:firstLine="0" w:left="0" w:right="0"/>
              <w:jc w:val="center"/>
              <w:snapToGrid w:val="0"/>
              <w:pBdr>
                <w:bottom w:val="single" w:sz="4" w:space="1"/>
              </w:pBdr>
            </w:pPr>
            <w:r>
              <w:rPr>
                <w:rFonts w:ascii="Times New Roman" w:hAnsi="Times New Roman" w:eastAsia="宋体"/>
                <w:b w:val="0"/>
                <w:sz w:val="28"/>
              </w:rPr>
              <w:t>杨磊</w:t>
            </w:r>
          </w:p>
        </w:tc>
      </w:tr>
      <w:tr>
        <w:trPr/>
        <w:tc>
          <w:tcPr>
            <w:tcW w:type="dxa" w:w="2041"/>
          </w:tcPr>
          <w:p>
            <w:pPr>
              <w:keepNext/>
              <w:keepLines w:val="0"/>
              <w:pageBreakBefore w:val="0"/>
              <w:widowControl/>
              <w:spacing w:before="0" w:after="120" w:line="440" w:lineRule="exact"/>
              <w:ind w:firstLine="0" w:left="0" w:right="0"/>
              <w:jc w:val="right"/>
              <w:snapToGrid w:val="0"/>
            </w:pPr>
            <w:r>
              <w:rPr>
                <w:rFonts w:ascii="Times New Roman" w:hAnsi="Times New Roman" w:eastAsia="宋体"/>
                <w:b w:val="0"/>
                <w:sz w:val="28"/>
              </w:rPr>
              <w:t>学    号：</w:t>
            </w:r>
          </w:p>
        </w:tc>
        <w:tc>
          <w:tcPr>
            <w:tcW w:type="dxa" w:w="2948"/>
          </w:tcPr>
          <w:p>
            <w:pPr>
              <w:keepNext/>
              <w:keepLines w:val="0"/>
              <w:pageBreakBefore w:val="0"/>
              <w:widowControl/>
              <w:spacing w:before="0" w:after="120" w:line="440" w:lineRule="exact"/>
              <w:ind w:firstLine="0" w:left="0" w:right="0"/>
              <w:jc w:val="center"/>
              <w:snapToGrid w:val="0"/>
              <w:pBdr>
                <w:bottom w:val="single" w:sz="4" w:space="1"/>
              </w:pBdr>
            </w:pPr>
            <w:r>
              <w:rPr>
                <w:rFonts w:ascii="Times New Roman" w:hAnsi="Times New Roman" w:eastAsia="宋体"/>
                <w:b w:val="0"/>
                <w:sz w:val="28"/>
              </w:rPr>
              <w:t>202421045825</w:t>
            </w:r>
          </w:p>
        </w:tc>
      </w:tr>
      <w:tr>
        <w:trPr/>
        <w:tc>
          <w:tcPr>
            <w:tcW w:type="dxa" w:w="2041"/>
          </w:tcPr>
          <w:p>
            <w:pPr>
              <w:keepNext/>
              <w:keepLines w:val="0"/>
              <w:pageBreakBefore w:val="0"/>
              <w:widowControl/>
              <w:spacing w:before="0" w:after="120" w:line="440" w:lineRule="exact"/>
              <w:ind w:firstLine="0" w:left="0" w:right="0"/>
              <w:jc w:val="right"/>
              <w:snapToGrid w:val="0"/>
            </w:pPr>
            <w:r>
              <w:rPr>
                <w:rFonts w:ascii="Times New Roman" w:hAnsi="Times New Roman" w:eastAsia="宋体"/>
                <w:b w:val="0"/>
                <w:sz w:val="28"/>
              </w:rPr>
              <w:t>院（系）：</w:t>
            </w:r>
          </w:p>
        </w:tc>
        <w:tc>
          <w:tcPr>
            <w:tcW w:type="dxa" w:w="2948"/>
          </w:tcPr>
          <w:p>
            <w:pPr>
              <w:keepNext/>
              <w:keepLines w:val="0"/>
              <w:pageBreakBefore w:val="0"/>
              <w:widowControl/>
              <w:spacing w:before="0" w:after="120" w:line="440" w:lineRule="exact"/>
              <w:ind w:firstLine="0" w:left="0" w:right="0"/>
              <w:jc w:val="center"/>
              <w:snapToGrid w:val="0"/>
              <w:pBdr>
                <w:bottom w:val="single" w:sz="4" w:space="1"/>
              </w:pBdr>
            </w:pPr>
            <w:r>
              <w:rPr>
                <w:rFonts w:ascii="Times New Roman" w:hAnsi="Times New Roman" w:eastAsia="宋体"/>
                <w:b w:val="0"/>
                <w:sz w:val="28"/>
              </w:rPr>
              <w:t>软件学院</w:t>
            </w:r>
          </w:p>
        </w:tc>
      </w:tr>
      <w:tr>
        <w:trPr/>
        <w:tc>
          <w:tcPr>
            <w:tcW w:type="dxa" w:w="2041"/>
          </w:tcPr>
          <w:p>
            <w:pPr>
              <w:keepNext/>
              <w:keepLines w:val="0"/>
              <w:pageBreakBefore w:val="0"/>
              <w:widowControl/>
              <w:spacing w:before="0" w:after="120" w:line="440" w:lineRule="exact"/>
              <w:ind w:firstLine="0" w:left="0" w:right="0"/>
              <w:jc w:val="right"/>
              <w:snapToGrid w:val="0"/>
            </w:pPr>
            <w:r>
              <w:rPr>
                <w:rFonts w:ascii="Times New Roman" w:hAnsi="Times New Roman" w:eastAsia="宋体"/>
                <w:b w:val="0"/>
                <w:sz w:val="28"/>
              </w:rPr>
              <w:t>专    业：</w:t>
            </w:r>
          </w:p>
        </w:tc>
        <w:tc>
          <w:tcPr>
            <w:tcW w:type="dxa" w:w="2948"/>
          </w:tcPr>
          <w:p>
            <w:pPr>
              <w:keepNext/>
              <w:keepLines w:val="0"/>
              <w:pageBreakBefore w:val="0"/>
              <w:widowControl/>
              <w:spacing w:before="0" w:after="120" w:line="440" w:lineRule="exact"/>
              <w:ind w:firstLine="0" w:left="0" w:right="0"/>
              <w:jc w:val="center"/>
              <w:snapToGrid w:val="0"/>
              <w:pBdr>
                <w:bottom w:val="single" w:sz="4" w:space="1"/>
              </w:pBdr>
            </w:pPr>
            <w:r>
              <w:rPr>
                <w:rFonts w:ascii="Times New Roman" w:hAnsi="Times New Roman" w:eastAsia="宋体"/>
                <w:b w:val="0"/>
                <w:sz w:val="28"/>
              </w:rPr>
              <w:t>软件工程</w:t>
            </w:r>
          </w:p>
        </w:tc>
      </w:tr>
    </w:tbl>
    <w:p>
      <w:pPr>
        <w:keepNext/>
        <w:keepLines w:val="0"/>
        <w:pageBreakBefore w:val="0"/>
        <w:widowControl/>
        <w:spacing w:before="420" w:after="940" w:line="460" w:lineRule="exact"/>
        <w:ind w:firstLine="0" w:left="0" w:right="0"/>
        <w:jc w:val="center"/>
        <w:snapToGrid w:val="0"/>
      </w:pPr>
      <w:r>
        <w:rPr>
          <w:rFonts w:ascii="Times New Roman" w:hAnsi="Times New Roman" w:eastAsia="宋体"/>
          <w:b w:val="0"/>
          <w:sz w:val="28"/>
        </w:rPr>
        <w:t>□ 博士研究生       ☑ 硕士研究生</w:t>
      </w:r>
    </w:p>
    <w:p>
      <w:pPr>
        <w:keepNext/>
        <w:keepLines w:val="0"/>
        <w:pageBreakBefore w:val="0"/>
        <w:widowControl/>
        <w:spacing w:before="0" w:after="80" w:line="460" w:lineRule="exact"/>
        <w:ind w:firstLine="0" w:left="0" w:right="0"/>
        <w:jc w:val="center"/>
        <w:snapToGrid w:val="0"/>
      </w:pPr>
      <w:r>
        <w:rPr>
          <w:rFonts w:ascii="Times New Roman" w:hAnsi="Times New Roman" w:eastAsia="宋体"/>
          <w:b w:val="0"/>
          <w:sz w:val="28"/>
        </w:rPr>
        <w:t>华南理工大学研究生院</w:t>
      </w:r>
    </w:p>
    <w:p>
      <w:pPr>
        <w:keepNext w:val="0"/>
        <w:keepLines w:val="0"/>
        <w:pageBreakBefore w:val="0"/>
        <w:widowControl/>
        <w:spacing w:before="0" w:after="0" w:line="460" w:lineRule="exact"/>
        <w:ind w:firstLine="0" w:left="0" w:right="0"/>
        <w:jc w:val="center"/>
        <w:snapToGrid w:val="0"/>
      </w:pPr>
      <w:r>
        <w:rPr>
          <w:rFonts w:ascii="Times New Roman" w:hAnsi="Times New Roman" w:eastAsia="宋体"/>
          <w:b w:val="0"/>
          <w:sz w:val="28"/>
        </w:rPr>
        <w:t>二〇二六年九月十四日</w:t>
      </w:r>
    </w:p>
    <w:p>
      <w:pPr>
        <w:keepNext/>
        <w:keepLines w:val="0"/>
        <w:pageBreakBefore/>
        <w:widowControl/>
        <w:snapToGrid w:val="0"/>
        <w:spacing w:before="0" w:beforeLines="100" w:after="180" w:afterLines="30" w:line="400" w:lineRule="exact"/>
        <w:ind w:firstLine="0" w:left="0" w:right="0"/>
        <w:jc w:val="both"/>
        <w:snapToGrid w:val="0"/>
      </w:pPr>
      <w:r>
        <w:rPr>
          <w:rFonts w:ascii="Times New Roman" w:hAnsi="Times New Roman" w:eastAsia="仿宋_GB2312"/>
          <w:b/>
          <w:sz w:val="24"/>
        </w:rPr>
        <w:t>一、中期考核工作基本情况</w:t>
      </w:r>
    </w:p>
    <w:tbl>
      <w:tblPr>
        <w:tblStyle w:val="6"/>
        <w:tblW w:w="0" w:type="auto"/>
        <w:jc w:val="center"/>
        <w:tblLayout w:type="fixed"/>
        <w:tblCellMar>
          <w:top w:w="85" w:type="dxa"/>
          <w:left w:w="110" w:type="dxa"/>
          <w:bottom w:w="85" w:type="dxa"/>
          <w:right w:w="11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553"/>
        <w:gridCol w:w="7519"/>
      </w:tblGrid>
      <w:tr>
        <w:trPr>
          <w:trHeight w:val="567" w:hRule="atLeast"/>
          <w:jc w:val="center"/>
          <w:cantSplit w:val="0"/>
        </w:trPr>
        <w:tc>
          <w:tcPr>
            <w:tcW w:w="1553" w:type="dxa"/>
            <w:vAlign w:val="top"/>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sz w:val="21"/>
              </w:rPr>
              <w:t>开题报告题目</w:t>
            </w:r>
          </w:p>
        </w:tc>
        <w:tc>
          <w:tcPr>
            <w:tcW w:w="7519" w:type="dxa"/>
            <w:vAlign w:val="top"/>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面向大模型的数据与参数联合高效微调算法研究</w:t>
            </w:r>
          </w:p>
        </w:tc>
      </w:tr>
      <w:tr>
        <w:trPr>
          <w:trHeight w:val="567" w:hRule="atLeast"/>
          <w:jc w:val="center"/>
          <w:cantSplit w:val="0"/>
        </w:trPr>
        <w:tc>
          <w:tcPr>
            <w:tcW w:w="1553" w:type="dxa"/>
            <w:vAlign w:val="top"/>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sz w:val="21"/>
              </w:rPr>
              <w:t>文献综述题目</w:t>
            </w:r>
          </w:p>
        </w:tc>
        <w:tc>
          <w:tcPr>
            <w:tcW w:w="7519" w:type="dxa"/>
            <w:vAlign w:val="top"/>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r>
          </w:p>
        </w:tc>
      </w:tr>
      <w:tr>
        <w:trPr>
          <w:jc w:val="center"/>
          <w:cantSplit w:val="0"/>
        </w:trPr>
        <w:tc>
          <w:tcPr>
            <w:tcW w:w="9072" w:type="dxa"/>
            <w:gridSpan w:val="2"/>
            <w:vAlign w:val="top"/>
          </w:tcPr>
          <w:p>
            <w:pPr>
              <w:keepNext w:val="0"/>
              <w:keepLines w:val="0"/>
              <w:pageBreakBefore w:val="0"/>
              <w:widowControl/>
              <w:spacing w:before="0" w:after="80" w:line="340" w:lineRule="exact"/>
              <w:ind w:firstLine="0" w:left="0" w:right="0"/>
              <w:jc w:val="both"/>
              <w:snapToGrid w:val="0"/>
            </w:pPr>
            <w:r>
              <w:rPr>
                <w:rFonts w:ascii="Times New Roman" w:hAnsi="Times New Roman" w:eastAsia="宋体"/>
                <w:b/>
                <w:sz w:val="21"/>
              </w:rPr>
              <w:t>课题研究的创新点：</w:t>
            </w:r>
          </w:p>
          <w:p>
            <w:pPr>
              <w:keepNext w:val="0"/>
              <w:keepLines w:val="0"/>
              <w:pageBreakBefore w:val="0"/>
              <w:widowControl/>
              <w:spacing w:before="180" w:after="100" w:line="360" w:lineRule="exact"/>
              <w:ind w:firstLine="0" w:left="0" w:right="0"/>
              <w:jc w:val="both"/>
              <w:snapToGrid w:val="0"/>
            </w:pPr>
            <w:r>
              <w:rPr>
                <w:rFonts w:ascii="Times New Roman" w:hAnsi="Times New Roman" w:eastAsia="宋体"/>
                <w:b/>
                <w:sz w:val="21"/>
              </w:rPr>
              <w:t>1 背景及动机</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大语言模型的指令微调能够提升模型对下游任务的适应能力，但大规模候选数据和反复试验会带来较高的训练成本。参数高效微调（PEFT）通过限制可训练参数降低资源消耗，数据选择通过保留更有价值的样本减少数据开销。两类方法共同作用于训练过程：不同 PEFT 配置的更新位置、算子及容量不同，同一样本对目标任务的训练价值也可能随之变化。因而，数据选择需要同时考虑“训练什么任务”和“以何种方式更新模型”。</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现有方法难以同时兼顾目标针对性和多配置复用。基于语义相似度或共享梯度的选择方式可以复用公共计算，但未充分表达具体 PEFT 配置的差异。逐配置 LESS 为每种配置构建专属梯度数据存储，再针对各任务评分，具有较强的目标针对性，却需要在新增配置时重复支付建库成本。直接沿用已有配置选出的子集，又可能损失与新配置的匹配性。本文由此研究可复用的条件效用评分：复用样本信号和评分器，并为不同配置与任务生成各自的训练子集。</w:t>
            </w:r>
          </w:p>
          <w:p>
            <w:pPr>
              <w:keepNext/>
              <w:keepLines w:val="0"/>
              <w:pageBreakBefore w:val="0"/>
              <w:widowControl/>
              <w:spacing w:before="180" w:after="100" w:line="360" w:lineRule="exact"/>
              <w:ind w:firstLine="0" w:left="0" w:right="0"/>
              <w:jc w:val="both"/>
              <w:snapToGrid w:val="0"/>
            </w:pPr>
            <w:r>
              <w:rPr>
                <w:rFonts w:ascii="Times New Roman" w:hAnsi="Times New Roman" w:eastAsia="宋体"/>
                <w:b/>
                <w:sz w:val="21"/>
              </w:rPr>
              <w:t>2 创新点</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（1）面向任务与参数配置的条件效用建模。将样本、PEFT 配置与任务共同作为效用预测条件，利用共享干预位点建立可比较的信号空间，并以结构化编码区分更新位置、算子、容量和训练配方，使公共信号复用与配置差异表达相结合。</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2）多保真监督驱动的统一评分器。以可缓存的位点梯度代理提供低成本排序监督，再通过少量短更新观测校正代理偏差；借助条件调制和交互建模学习样本效用与不确定性，减少重复构建目标专属选择器的成本。</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（3）兼顾效用与覆盖的目标子集构建。将保守条件评分与语义簇规模共同用于预算分配，缓解全局高分样本过于集中的问题；通过区分一次性离线成本和新增配置成本，分析多配置数据选择的摊销收益。</w:t>
            </w:r>
          </w:p>
        </w:tc>
      </w:tr>
      <w:tr>
        <w:trPr>
          <w:jc w:val="center"/>
          <w:cantSplit w:val="0"/>
        </w:trPr>
        <w:tc>
          <w:tcPr>
            <w:tcW w:w="9072" w:type="dxa"/>
            <w:gridSpan w:val="2"/>
            <w:vAlign w:val="top"/>
          </w:tcPr>
          <w:p>
            <w:pPr>
              <w:keepNext w:val="0"/>
              <w:keepLines w:val="0"/>
              <w:pageBreakBefore w:val="0"/>
              <w:widowControl/>
              <w:spacing w:before="0" w:after="80" w:line="340" w:lineRule="exact"/>
              <w:ind w:firstLine="0" w:left="0" w:right="0"/>
              <w:jc w:val="both"/>
              <w:snapToGrid w:val="0"/>
            </w:pPr>
            <w:r>
              <w:rPr>
                <w:rFonts w:ascii="Times New Roman" w:hAnsi="Times New Roman" w:eastAsia="宋体"/>
                <w:b/>
                <w:sz w:val="21"/>
              </w:rPr>
              <w:t>开题以来研究工作总结：</w:t>
            </w:r>
          </w:p>
          <w:p>
            <w:pPr>
              <w:keepNext w:val="0"/>
              <w:keepLines w:val="0"/>
              <w:pageBreakBefore w:val="0"/>
              <w:widowControl/>
              <w:spacing w:before="180" w:after="100" w:line="360" w:lineRule="exact"/>
              <w:ind w:firstLine="0" w:left="0" w:right="0"/>
              <w:jc w:val="both"/>
              <w:snapToGrid w:val="0"/>
            </w:pPr>
            <w:r>
              <w:rPr>
                <w:rFonts w:ascii="Times New Roman" w:hAnsi="Times New Roman" w:eastAsia="宋体"/>
                <w:b/>
                <w:sz w:val="21"/>
              </w:rPr>
              <w:t>1 问题定义</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在固定骨干模型 M₀ 和候选指令数据池 D 的条件下，设 p 表示参数高效微调（PEFT）配置，包括更新位置、算子、容量与训练配方；t 表示目标任务，B 为选数预算。数据选择的理想目标是在预算内寻找子集 S，使微调后的模型在目标任务上取得较好表现：</w:t>
            </w:r>
          </w:p>
          <w:p>
            <w:pPr>
              <w:keepNext w:val="0"/>
              <w:keepLines/>
              <w:pageBreakBefore w:val="0"/>
              <w:widowControl/>
              <w:spacing w:before="80" w:after="120" w:line="288" w:lineRule="auto"/>
              <w:ind w:firstLine="0" w:left="0" w:right="0"/>
              <w:jc w:val="both"/>
              <w:tabs>
                <w:tab w:pos="4252" w:val="center"/>
                <w:tab w:pos="8617" w:val="right"/>
              </w:tabs>
              <w:snapToGrid w:val="0"/>
            </w:pPr>
            <w:r>
              <w:rPr>
                <w:rFonts w:ascii="Times New Roman" w:hAnsi="Times New Roman" w:eastAsia="宋体"/>
                <w:b w:val="0"/>
                <w:sz w:val="21"/>
              </w:rPr>
            </w:r>
            <w:r>
              <w:rPr>
                <w:rFonts w:ascii="Times New Roman" w:hAnsi="Times New Roman" w:eastAsia="宋体"/>
                <w:b w:val="0"/>
                <w:sz w:val="21"/>
              </w:rPr>
              <w:tab/>
            </w:r>
            <m:oMath>
              <m:sSup>
                <m:e>
                  <m:r>
                    <m:rPr>
                      <m:sty m:val="i"/>
                    </m:rPr>
                    <w:rPr>
                      <w:rFonts w:ascii="Cambria Math" w:hAnsi="Cambria Math"/>
                      <w:sz w:val="21"/>
                    </w:rPr>
                    <m:t xml:space="preserve">S</m:t>
                  </m:r>
                </m:e>
                <m:sup>
                  <m:r>
                    <m:rPr>
                      <m:sty m:val="i"/>
                    </m:rPr>
                    <w:rPr>
                      <w:rFonts w:ascii="Cambria Math" w:hAnsi="Cambria Math"/>
                      <w:sz w:val="21"/>
                    </w:rPr>
                    <m:t xml:space="preserve">*</m:t>
                  </m:r>
                </m:sup>
              </m:sSup>
              <m:r>
                <m:rPr>
                  <m:sty m:val="i"/>
                </m:rPr>
                <w:rPr>
                  <w:rFonts w:ascii="Cambria Math" w:hAnsi="Cambria Math"/>
                  <w:sz w:val="21"/>
                </w:rPr>
                <m:t xml:space="preserve"> = </m:t>
              </m:r>
              <m:limLow>
                <m:e>
                  <m:r>
                    <m:rPr>
                      <m:sty m:val="p"/>
                    </m:rPr>
                    <w:rPr>
                      <w:rFonts w:ascii="Cambria Math" w:hAnsi="Cambria Math"/>
                      <w:sz w:val="21"/>
                    </w:rPr>
                    <m:t xml:space="preserve">arg max</m:t>
                  </m:r>
                </m:e>
                <m:lim>
                  <m:r>
                    <m:rPr>
                      <m:sty m:val="i"/>
                    </m:rPr>
                    <w:rPr>
                      <w:rFonts w:ascii="Cambria Math" w:hAnsi="Cambria Math"/>
                      <w:sz w:val="21"/>
                    </w:rPr>
                    <m:t xml:space="preserve">S ⊆ D, |S| ≤ B</m:t>
                  </m:r>
                </m:lim>
              </m:limLow>
              <m:r>
                <m:rPr>
                  <m:sty m:val="i"/>
                </m:rPr>
                <w:rPr>
                  <w:rFonts w:ascii="Cambria Math" w:hAnsi="Cambria Math"/>
                  <w:sz w:val="21"/>
                </w:rPr>
                <m:t xml:space="preserve"> </m:t>
              </m:r>
              <m:r>
                <m:rPr>
                  <m:sty m:val="p"/>
                </m:rPr>
                <w:rPr>
                  <w:rFonts w:ascii="Cambria Math" w:hAnsi="Cambria Math"/>
                  <w:sz w:val="21"/>
                </w:rPr>
                <m:t xml:space="preserve">Perf</m:t>
              </m:r>
              <m:d>
                <m:dPr>
                  <m:begChr m:val="("/>
                  <m:endChr m:val=")"/>
                </m:dPr>
                <m:e>
                  <m:r>
                    <m:rPr>
                      <m:sty m:val="p"/>
                    </m:rPr>
                    <w:rPr>
                      <w:rFonts w:ascii="Cambria Math" w:hAnsi="Cambria Math"/>
                      <w:sz w:val="21"/>
                    </w:rPr>
                    <m:t xml:space="preserve">Tune</m:t>
                  </m:r>
                  <m:d>
                    <m:dPr>
                      <m:begChr m:val="("/>
                      <m:endChr m:val=")"/>
                    </m:dPr>
                    <m:e>
                      <m:sSub>
                        <m:e>
                          <m:r>
                            <m:rPr>
                              <m:sty m:val="i"/>
                            </m:rPr>
                            <w:rPr>
                              <w:rFonts w:ascii="Cambria Math" w:hAnsi="Cambria Math"/>
                              <w:sz w:val="21"/>
                            </w:rPr>
                            <m:t xml:space="preserve">M</m:t>
                          </m:r>
                        </m:e>
                        <m:sub>
                          <m:r>
                            <m:rPr>
                              <m:sty m:val="i"/>
                            </m:rPr>
                            <w:rPr>
                              <w:rFonts w:ascii="Cambria Math" w:hAnsi="Cambria Math"/>
                              <w:sz w:val="21"/>
                            </w:rPr>
                            <m:t xml:space="preserve">0</m:t>
                          </m:r>
                        </m:sub>
                      </m:sSub>
                      <m:r>
                        <m:rPr>
                          <m:sty m:val="i"/>
                        </m:rPr>
                        <w:rPr>
                          <w:rFonts w:ascii="Cambria Math" w:hAnsi="Cambria Math"/>
                          <w:sz w:val="21"/>
                        </w:rPr>
                        <m:t xml:space="preserve">, p, S</m:t>
                      </m:r>
                    </m:e>
                  </m:d>
                  <m:r>
                    <m:rPr>
                      <m:sty m:val="i"/>
                    </m:rPr>
                    <w:rPr>
                      <w:rFonts w:ascii="Cambria Math" w:hAnsi="Cambria Math"/>
                      <w:sz w:val="21"/>
                    </w:rPr>
                    <m:t xml:space="preserve">, </m:t>
                  </m:r>
                  <m:sSubSup>
                    <m:e>
                      <m:r>
                        <m:rPr>
                          <m:sty m:val="i"/>
                        </m:rPr>
                        <w:rPr>
                          <w:rFonts w:ascii="Cambria Math" w:hAnsi="Cambria Math"/>
                          <w:sz w:val="21"/>
                        </w:rPr>
                        <m:t xml:space="preserve">V</m:t>
                      </m:r>
                    </m:e>
                    <m:sub>
                      <m:r>
                        <m:rPr>
                          <m:sty m:val="i"/>
                        </m:rPr>
                        <w:rPr>
                          <w:rFonts w:ascii="Cambria Math" w:hAnsi="Cambria Math"/>
                          <w:sz w:val="21"/>
                        </w:rPr>
                        <m:t xml:space="preserve">t</m:t>
                      </m:r>
                    </m:sub>
                    <m:sup>
                      <m:r>
                        <m:rPr>
                          <m:sty m:val="p"/>
                        </m:rPr>
                        <w:rPr>
                          <w:rFonts w:ascii="Cambria Math" w:hAnsi="Cambria Math"/>
                          <w:sz w:val="21"/>
                        </w:rPr>
                        <m:t xml:space="preserve">test</m:t>
                      </m:r>
                    </m:sup>
                  </m:sSubSup>
                </m:e>
              </m:d>
            </m:oMath>
            <w:r>
              <w:rPr>
                <w:rFonts w:ascii="Times New Roman" w:hAnsi="Times New Roman" w:eastAsia="宋体"/>
                <w:b w:val="0"/>
                <w:sz w:val="21"/>
              </w:rPr>
              <w:tab/>
              <w:t>(1)</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其中，Tune 表示按配置 p 执行微调，Perf 表示任务评价指标。测试集仅用于定义目标和最终评测，不参与训练、评分或选数。实际选择使用来自训练或开发数据的任务摘要 Vₜ。由于逐一训练候选子集不可行，本文以条件效用 u(x,p,t) 近似描述样本 x 对任务 t 在配置 p 下的训练价值，并学习可复用评分器预测这一效用。与统一排序相比，显式引入 p 允许样本排序随可训练子空间变化；与逐配置构建梯度数据存储相比，共享表征和评分器将主要建模成本集中到离线阶段。研究目标是在保留目标针对性的同时，降低多配置服务的累计选择成本。</w:t>
            </w:r>
          </w:p>
          <w:p>
            <w:pPr>
              <w:keepNext/>
              <w:keepLines w:val="0"/>
              <w:pageBreakBefore w:val="0"/>
              <w:widowControl/>
              <w:spacing w:before="180" w:after="100" w:line="360" w:lineRule="exact"/>
              <w:ind w:firstLine="0" w:left="0" w:right="0"/>
              <w:jc w:val="both"/>
              <w:snapToGrid w:val="0"/>
            </w:pPr>
            <w:r>
              <w:rPr>
                <w:rFonts w:ascii="Times New Roman" w:hAnsi="Times New Roman" w:eastAsia="宋体"/>
                <w:b/>
                <w:sz w:val="21"/>
              </w:rPr>
              <w:t>2 方法</w:t>
            </w:r>
          </w:p>
          <w:p>
            <w:pPr>
              <w:keepNext/>
              <w:keepLines w:val="0"/>
              <w:pageBreakBefore w:val="0"/>
              <w:widowControl/>
              <w:spacing w:before="140" w:after="80" w:line="340" w:lineRule="exact"/>
              <w:ind w:firstLine="0" w:left="0" w:right="0"/>
              <w:jc w:val="both"/>
              <w:snapToGrid w:val="0"/>
            </w:pPr>
            <w:r>
              <w:rPr>
                <w:rFonts w:ascii="Times New Roman" w:hAnsi="Times New Roman" w:eastAsia="宋体"/>
                <w:b/>
                <w:sz w:val="21"/>
              </w:rPr>
              <w:t>2.1 总体框架</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PCU-Select 由离线建模和在线选择组成。离线阶段提取可复用的样本及任务信号，建立 PEFT 结构化编码，通过多保真标签训练统一条件评分器。在线阶段输入目标配置与任务，结合缓存特征得到候选样本分数，再依据语义聚类分配预算，输出该目标对应的训练子集。框架共享公共计算，但每个配置—任务组合仍具有自己的排序、配额和选择结果。</w:t>
            </w:r>
          </w:p>
          <w:tbl>
            <w:tblPr>
              <w:tblW w:type="auto" w:w="0"/>
              <w:jc w:val="center"/>
              <w:tblLayout w:type="fixed"/>
              <w:tblLook w:firstColumn="1" w:firstRow="1" w:lastColumn="0" w:lastRow="0" w:noHBand="0" w:noVBand="1" w:val="04A0"/>
              <w:tblCellMar>
                <w:top w:w="30" w:type="dxa"/>
                <w:left w:w="0" w:type="dxa"/>
                <w:bottom w:w="30" w:type="dxa"/>
                <w:right w:w="0" w:type="dxa"/>
              </w:tblCellMar>
              <w:tblBorders>
                <w:top w:val="nil"/>
                <w:left w:val="nil"/>
                <w:bottom w:val="nil"/>
                <w:right w:val="nil"/>
                <w:insideH w:val="nil"/>
                <w:insideV w:val="nil"/>
              </w:tblBorders>
            </w:tblPr>
            <w:tblGrid>
              <w:gridCol w:w="8617"/>
            </w:tblGrid>
            <w:tr>
              <w:trPr>
                <w:cantSplit/>
              </w:trPr>
              <w:tc>
                <w:tcPr>
                  <w:tcW w:type="dxa" w:w="8617"/>
                </w:tcPr>
                <w:p>
                  <w:pPr>
                    <w:keepNext/>
                    <w:keepLines/>
                    <w:pageBreakBefore w:val="0"/>
                    <w:widowControl/>
                    <w:spacing w:before="0" w:after="60" w:line="240" w:lineRule="auto"/>
                    <w:ind w:firstLine="0" w:left="0" w:right="0"/>
                    <w:jc w:val="center"/>
                    <w:snapToGrid w:val="0"/>
                  </w:pPr>
                  <w:r>
                    <w:rPr>
                      <w:rFonts w:ascii="Times New Roman" w:hAnsi="Times New Roman" w:eastAsia="宋体"/>
                      <w:b w:val="0"/>
                      <w:sz w:val="21"/>
                    </w:rPr>
                  </w:r>
                  <w:r>
                    <w:drawing>
                      <wp:inline xmlns:a="http://schemas.openxmlformats.org/drawingml/2006/main" xmlns:pic="http://schemas.openxmlformats.org/drawingml/2006/picture">
                        <wp:extent cx="5112000" cy="2403674"/>
                        <wp:docPr id="2" name="Picture 2" descr="图 1  PCU-Select 总体架构：共享信号提取、多保真效用学习与目标条件化选择"/>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112000" cy="2403674"/>
                                </a:xfrm>
                                <a:prstGeom prst="rect"/>
                              </pic:spPr>
                            </pic:pic>
                          </a:graphicData>
                        </a:graphic>
                      </wp:inline>
                    </w:drawing>
                  </w:r>
                </w:p>
                <w:p>
                  <w:pPr>
                    <w:keepNext w:val="0"/>
                    <w:keepLines w:val="0"/>
                    <w:pageBreakBefore w:val="0"/>
                    <w:widowControl/>
                    <w:spacing w:before="0" w:after="0" w:line="280" w:lineRule="exact"/>
                    <w:ind w:firstLine="0" w:left="0" w:right="0"/>
                    <w:jc w:val="center"/>
                    <w:snapToGrid w:val="0"/>
                  </w:pPr>
                  <w:r>
                    <w:rPr>
                      <w:rFonts w:ascii="Times New Roman" w:hAnsi="Times New Roman" w:eastAsia="宋体"/>
                      <w:b w:val="0"/>
                      <w:sz w:val="19"/>
                    </w:rPr>
                    <w:t>图 1  PCU-Select 总体架构：共享信号提取、多保真效用学习与目标条件化选择</w:t>
                  </w:r>
                </w:p>
              </w:tc>
            </w:tr>
          </w:tbl>
          <w:p>
            <w:pPr>
              <w:keepNext w:val="0"/>
              <w:keepLines w:val="0"/>
              <w:pageBreakBefore w:val="0"/>
              <w:widowControl/>
              <w:spacing w:before="0" w:after="0" w:line="40" w:lineRule="exact"/>
              <w:ind w:firstLine="0" w:left="0" w:right="0"/>
              <w:jc w:val="both"/>
              <w:snapToGrid w:val="0"/>
            </w:pPr>
            <w:r>
              <w:rPr>
                <w:rFonts w:ascii="Times New Roman" w:hAnsi="Times New Roman" w:eastAsia="宋体"/>
                <w:b w:val="0"/>
                <w:sz w:val="2"/>
              </w:rPr>
            </w:r>
          </w:p>
          <w:p>
            <w:pPr>
              <w:keepNext/>
              <w:keepLines w:val="0"/>
              <w:pageBreakBefore w:val="0"/>
              <w:widowControl/>
              <w:spacing w:before="140" w:after="80" w:line="340" w:lineRule="exact"/>
              <w:ind w:firstLine="0" w:left="0" w:right="0"/>
              <w:jc w:val="both"/>
              <w:snapToGrid w:val="0"/>
            </w:pPr>
            <w:r>
              <w:rPr>
                <w:rFonts w:ascii="Times New Roman" w:hAnsi="Times New Roman" w:eastAsia="宋体"/>
                <w:b/>
                <w:sz w:val="21"/>
              </w:rPr>
              <w:t>2.2 共享干预位点与结构化表征</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不同 PEFT 方法的参数梯度形状及作用方式不同，难以直接共用梯度缓存。本文在八个均匀采样的 Transformer 层上选取注意力、前馈网络和残差输出，构成 24 个共享干预位点。借助链式法则，模型更新对损失的影响可经由相应模块输出传递，因此采用这些位点上的响应损失梯度描述样本和任务信号，并将不同配置映射到其作用位点。位点索引表示“在哪里更新”，结构化编码进一步描述“如何更新”及更新容量，使共享坐标不等同于将不同算子视为等价。</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评分器使用三类定长输入。848 维样本向量由 768 维冻结语义嵌入、16 维长度与损失等统计特征、64 维隐藏状态摘要组成。任务向量对任务摘要中 32 个示例的样本表征求均值；用于构造监督的任务位点梯度另行保存。128 维 PEFT 向量包含 96 维位点及算子编码，以及各 16 维的容量、训练配方编码。这种分解兼顾公共信号复用与配置差异，条件评分不依赖简单的家族名称查表。</w:t>
            </w:r>
          </w:p>
          <w:p>
            <w:pPr>
              <w:keepNext/>
              <w:keepLines w:val="0"/>
              <w:pageBreakBefore w:val="0"/>
              <w:widowControl/>
              <w:spacing w:before="140" w:after="80" w:line="340" w:lineRule="exact"/>
              <w:ind w:firstLine="0" w:left="0" w:right="0"/>
              <w:jc w:val="both"/>
              <w:snapToGrid w:val="0"/>
            </w:pPr>
            <w:r>
              <w:rPr>
                <w:rFonts w:ascii="Times New Roman" w:hAnsi="Times New Roman" w:eastAsia="宋体"/>
                <w:b/>
                <w:sz w:val="21"/>
              </w:rPr>
              <w:t>2.3 多保真效用监督</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逐样本完整微调的监督成本过高，因此本文联合低成本梯度代理与少量短更新观测。低保真标签衡量样本梯度和任务梯度在目标配置有效位点上的方向一致性：</w:t>
            </w:r>
          </w:p>
          <w:p>
            <w:pPr>
              <w:keepNext w:val="0"/>
              <w:keepLines/>
              <w:pageBreakBefore w:val="0"/>
              <w:widowControl/>
              <w:spacing w:before="80" w:after="120" w:line="288" w:lineRule="auto"/>
              <w:ind w:firstLine="0" w:left="0" w:right="0"/>
              <w:jc w:val="both"/>
              <w:tabs>
                <w:tab w:pos="4252" w:val="center"/>
                <w:tab w:pos="8617" w:val="right"/>
              </w:tabs>
              <w:snapToGrid w:val="0"/>
            </w:pPr>
            <w:r>
              <w:rPr>
                <w:rFonts w:ascii="Times New Roman" w:hAnsi="Times New Roman" w:eastAsia="宋体"/>
                <w:b w:val="0"/>
                <w:sz w:val="21"/>
              </w:rPr>
            </w:r>
            <w:r>
              <w:rPr>
                <w:rFonts w:ascii="Times New Roman" w:hAnsi="Times New Roman" w:eastAsia="宋体"/>
                <w:b w:val="0"/>
                <w:sz w:val="21"/>
              </w:rPr>
              <w:tab/>
            </w:r>
            <m:oMath>
              <m:sSup>
                <m:e>
                  <m:r>
                    <m:rPr>
                      <m:sty m:val="i"/>
                    </m:rPr>
                    <w:rPr>
                      <w:rFonts w:ascii="Cambria Math" w:hAnsi="Cambria Math"/>
                      <w:sz w:val="21"/>
                    </w:rPr>
                    <m:t xml:space="preserve">u</m:t>
                  </m:r>
                </m:e>
                <m:sup>
                  <m:r>
                    <m:rPr>
                      <m:sty m:val="p"/>
                    </m:rPr>
                    <w:rPr>
                      <w:rFonts w:ascii="Cambria Math" w:hAnsi="Cambria Math"/>
                      <w:sz w:val="21"/>
                    </w:rPr>
                    <m:t xml:space="preserve">lo</m:t>
                  </m:r>
                </m:sup>
              </m:sSup>
              <m:r>
                <m:rPr>
                  <m:sty m:val="i"/>
                </m:rPr>
                <w:rPr>
                  <w:rFonts w:ascii="Cambria Math" w:hAnsi="Cambria Math"/>
                  <w:sz w:val="21"/>
                </w:rPr>
                <m:t xml:space="preserve">(x,p,t) = </m:t>
              </m:r>
              <m:nary>
                <m:naryPr>
                  <m:chr m:val="∑"/>
                  <m:limLoc m:val="subSup"/>
                  <m:supHide m:val="1"/>
                </m:naryPr>
                <m:sub>
                  <m:r>
                    <m:rPr>
                      <m:sty m:val="i"/>
                    </m:rPr>
                    <w:rPr>
                      <w:rFonts w:ascii="Cambria Math" w:hAnsi="Cambria Math"/>
                      <w:sz w:val="21"/>
                    </w:rPr>
                    <m:t xml:space="preserve">ω∈Ω</m:t>
                  </m:r>
                </m:sub>
                <m:sup/>
                <m:e>
                  <m:sSubSup>
                    <m:e>
                      <m:acc>
                        <m:accPr>
                          <m:chr m:val="̃"/>
                        </m:accPr>
                        <m:e>
                          <m:r>
                            <m:rPr>
                              <m:sty m:val="i"/>
                            </m:rPr>
                            <w:rPr>
                              <w:rFonts w:ascii="Cambria Math" w:hAnsi="Cambria Math"/>
                              <w:sz w:val="21"/>
                            </w:rPr>
                            <m:t xml:space="preserve">w</m:t>
                          </m:r>
                        </m:e>
                      </m:acc>
                    </m:e>
                    <m:sub>
                      <m:r>
                        <m:rPr>
                          <m:sty m:val="i"/>
                        </m:rPr>
                        <w:rPr>
                          <w:rFonts w:ascii="Cambria Math" w:hAnsi="Cambria Math"/>
                          <w:sz w:val="21"/>
                        </w:rPr>
                        <m:t xml:space="preserve">p</m:t>
                      </m:r>
                    </m:sub>
                    <m:sup>
                      <m:r>
                        <m:rPr>
                          <m:sty m:val="i"/>
                        </m:rPr>
                        <w:rPr>
                          <w:rFonts w:ascii="Cambria Math" w:hAnsi="Cambria Math"/>
                          <w:sz w:val="21"/>
                        </w:rPr>
                        <m:t xml:space="preserve">ω</m:t>
                      </m:r>
                    </m:sup>
                  </m:sSubSup>
                  <m:r>
                    <m:rPr>
                      <m:sty m:val="p"/>
                    </m:rPr>
                    <w:rPr>
                      <w:rFonts w:ascii="Cambria Math" w:hAnsi="Cambria Math"/>
                      <w:sz w:val="21"/>
                    </w:rPr>
                    <m:t xml:space="preserve"> cos</m:t>
                  </m:r>
                  <m:d>
                    <m:dPr>
                      <m:begChr m:val="("/>
                      <m:endChr m:val=")"/>
                    </m:dPr>
                    <m:e>
                      <m:sSubSup>
                        <m:e>
                          <m:r>
                            <m:rPr>
                              <m:sty m:val="i"/>
                            </m:rPr>
                            <w:rPr>
                              <w:rFonts w:ascii="Cambria Math" w:hAnsi="Cambria Math"/>
                              <w:sz w:val="21"/>
                            </w:rPr>
                            <m:t xml:space="preserve">g</m:t>
                          </m:r>
                        </m:e>
                        <m:sub>
                          <m:r>
                            <m:rPr>
                              <m:sty m:val="i"/>
                            </m:rPr>
                            <w:rPr>
                              <w:rFonts w:ascii="Cambria Math" w:hAnsi="Cambria Math"/>
                              <w:sz w:val="21"/>
                            </w:rPr>
                            <m:t xml:space="preserve">x</m:t>
                          </m:r>
                        </m:sub>
                        <m:sup>
                          <m:r>
                            <m:rPr>
                              <m:sty m:val="i"/>
                            </m:rPr>
                            <w:rPr>
                              <w:rFonts w:ascii="Cambria Math" w:hAnsi="Cambria Math"/>
                              <w:sz w:val="21"/>
                            </w:rPr>
                            <m:t xml:space="preserve">ω</m:t>
                          </m:r>
                        </m:sup>
                      </m:sSubSup>
                      <m:r>
                        <m:rPr>
                          <m:sty m:val="i"/>
                        </m:rPr>
                        <w:rPr>
                          <w:rFonts w:ascii="Cambria Math" w:hAnsi="Cambria Math"/>
                          <w:sz w:val="21"/>
                        </w:rPr>
                        <m:t xml:space="preserve">, </m:t>
                      </m:r>
                      <m:sSubSup>
                        <m:e>
                          <m:r>
                            <m:rPr>
                              <m:sty m:val="i"/>
                            </m:rPr>
                            <w:rPr>
                              <w:rFonts w:ascii="Cambria Math" w:hAnsi="Cambria Math"/>
                              <w:sz w:val="21"/>
                            </w:rPr>
                            <m:t xml:space="preserve">g</m:t>
                          </m:r>
                        </m:e>
                        <m:sub>
                          <m:r>
                            <m:rPr>
                              <m:sty m:val="i"/>
                            </m:rPr>
                            <w:rPr>
                              <w:rFonts w:ascii="Cambria Math" w:hAnsi="Cambria Math"/>
                              <w:sz w:val="21"/>
                            </w:rPr>
                            <m:t xml:space="preserve">t</m:t>
                          </m:r>
                        </m:sub>
                        <m:sup>
                          <m:r>
                            <m:rPr>
                              <m:sty m:val="i"/>
                            </m:rPr>
                            <w:rPr>
                              <w:rFonts w:ascii="Cambria Math" w:hAnsi="Cambria Math"/>
                              <w:sz w:val="21"/>
                            </w:rPr>
                            <m:t xml:space="preserve">ω</m:t>
                          </m:r>
                        </m:sup>
                      </m:sSubSup>
                    </m:e>
                  </m:d>
                </m:e>
              </m:nary>
            </m:oMath>
            <w:r>
              <w:rPr>
                <w:rFonts w:ascii="Times New Roman" w:hAnsi="Times New Roman" w:eastAsia="宋体"/>
                <w:b w:val="0"/>
                <w:sz w:val="21"/>
              </w:rPr>
              <w:tab/>
              <w:t>(2)</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其中，g 表示经随机投影压缩至 256 维并归一化的位点梯度，权重由配置的有效位点和容量确定。代理值在相同配置与任务条件内进行排序归一化。样本梯度签名只需提取一次，即可为多个目标组合提供监督。</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高保真标签直接观察短更新引起的任务摘要损失下降：</w:t>
            </w:r>
          </w:p>
          <w:p>
            <w:pPr>
              <w:keepNext w:val="0"/>
              <w:keepLines/>
              <w:pageBreakBefore w:val="0"/>
              <w:widowControl/>
              <w:spacing w:before="80" w:after="120" w:line="288" w:lineRule="auto"/>
              <w:ind w:firstLine="0" w:left="0" w:right="0"/>
              <w:jc w:val="both"/>
              <w:tabs>
                <w:tab w:pos="4252" w:val="center"/>
                <w:tab w:pos="8617" w:val="right"/>
              </w:tabs>
              <w:snapToGrid w:val="0"/>
            </w:pPr>
            <w:r>
              <w:rPr>
                <w:rFonts w:ascii="Times New Roman" w:hAnsi="Times New Roman" w:eastAsia="宋体"/>
                <w:b w:val="0"/>
                <w:sz w:val="21"/>
              </w:rPr>
            </w:r>
            <w:r>
              <w:rPr>
                <w:rFonts w:ascii="Times New Roman" w:hAnsi="Times New Roman" w:eastAsia="宋体"/>
                <w:b w:val="0"/>
                <w:sz w:val="21"/>
              </w:rPr>
              <w:tab/>
            </w:r>
            <m:oMath>
              <m:r>
                <m:rPr>
                  <m:sty m:val="i"/>
                </m:rPr>
                <w:rPr>
                  <w:rFonts w:ascii="Cambria Math" w:hAnsi="Cambria Math"/>
                  <w:sz w:val="21"/>
                </w:rPr>
                <m:t xml:space="preserve">Δ(x,p,t,a,h) = </m:t>
              </m:r>
              <m:sSub>
                <m:e>
                  <m:r>
                    <m:rPr>
                      <m:sty m:val="i"/>
                    </m:rPr>
                    <w:rPr>
                      <w:rFonts w:ascii="Cambria Math" w:hAnsi="Cambria Math"/>
                      <w:sz w:val="21"/>
                    </w:rPr>
                    <m:t xml:space="preserve">L</m:t>
                  </m:r>
                </m:e>
                <m:sub>
                  <m:sSub>
                    <m:e>
                      <m:r>
                        <m:rPr>
                          <m:sty m:val="i"/>
                        </m:rPr>
                        <w:rPr>
                          <w:rFonts w:ascii="Cambria Math" w:hAnsi="Cambria Math"/>
                          <w:sz w:val="21"/>
                        </w:rPr>
                        <m:t xml:space="preserve">V</m:t>
                      </m:r>
                    </m:e>
                    <m:sub>
                      <m:r>
                        <m:rPr>
                          <m:sty m:val="i"/>
                        </m:rPr>
                        <w:rPr>
                          <w:rFonts w:ascii="Cambria Math" w:hAnsi="Cambria Math"/>
                          <w:sz w:val="21"/>
                        </w:rPr>
                        <m:t xml:space="preserve">t</m:t>
                      </m:r>
                    </m:sub>
                  </m:sSub>
                </m:sub>
              </m:sSub>
              <m:d>
                <m:dPr>
                  <m:begChr m:val="("/>
                  <m:endChr m:val=")"/>
                </m:dPr>
                <m:e>
                  <m:sSub>
                    <m:e>
                      <m:r>
                        <m:rPr>
                          <m:sty m:val="i"/>
                        </m:rPr>
                        <w:rPr>
                          <w:rFonts w:ascii="Cambria Math" w:hAnsi="Cambria Math"/>
                          <w:sz w:val="21"/>
                        </w:rPr>
                        <m:t xml:space="preserve">θ</m:t>
                      </m:r>
                    </m:e>
                    <m:sub>
                      <m:r>
                        <m:rPr>
                          <m:sty m:val="i"/>
                        </m:rPr>
                        <w:rPr>
                          <w:rFonts w:ascii="Cambria Math" w:hAnsi="Cambria Math"/>
                          <w:sz w:val="21"/>
                        </w:rPr>
                        <m:t xml:space="preserve">a</m:t>
                      </m:r>
                    </m:sub>
                  </m:sSub>
                </m:e>
              </m:d>
              <m:r>
                <m:rPr>
                  <m:sty m:val="i"/>
                </m:rPr>
                <w:rPr>
                  <w:rFonts w:ascii="Cambria Math" w:hAnsi="Cambria Math"/>
                  <w:sz w:val="21"/>
                </w:rPr>
                <m:t xml:space="preserve"> − </m:t>
              </m:r>
              <m:sSub>
                <m:e>
                  <m:r>
                    <m:rPr>
                      <m:sty m:val="i"/>
                    </m:rPr>
                    <w:rPr>
                      <w:rFonts w:ascii="Cambria Math" w:hAnsi="Cambria Math"/>
                      <w:sz w:val="21"/>
                    </w:rPr>
                    <m:t xml:space="preserve">L</m:t>
                  </m:r>
                </m:e>
                <m:sub>
                  <m:sSub>
                    <m:e>
                      <m:r>
                        <m:rPr>
                          <m:sty m:val="i"/>
                        </m:rPr>
                        <w:rPr>
                          <w:rFonts w:ascii="Cambria Math" w:hAnsi="Cambria Math"/>
                          <w:sz w:val="21"/>
                        </w:rPr>
                        <m:t xml:space="preserve">V</m:t>
                      </m:r>
                    </m:e>
                    <m:sub>
                      <m:r>
                        <m:rPr>
                          <m:sty m:val="i"/>
                        </m:rPr>
                        <w:rPr>
                          <w:rFonts w:ascii="Cambria Math" w:hAnsi="Cambria Math"/>
                          <w:sz w:val="21"/>
                        </w:rPr>
                        <m:t xml:space="preserve">t</m:t>
                      </m:r>
                    </m:sub>
                  </m:sSub>
                </m:sub>
              </m:sSub>
              <m:d>
                <m:dPr>
                  <m:begChr m:val="("/>
                  <m:endChr m:val=")"/>
                </m:dPr>
                <m:e>
                  <m:sSubSup>
                    <m:e>
                      <m:r>
                        <m:rPr>
                          <m:sty m:val="p"/>
                        </m:rPr>
                        <w:rPr>
                          <w:rFonts w:ascii="Cambria Math" w:hAnsi="Cambria Math"/>
                          <w:sz w:val="21"/>
                        </w:rPr>
                        <m:t xml:space="preserve">Adapt</m:t>
                      </m:r>
                    </m:e>
                    <m:sub>
                      <m:r>
                        <m:rPr>
                          <m:sty m:val="i"/>
                        </m:rPr>
                        <w:rPr>
                          <w:rFonts w:ascii="Cambria Math" w:hAnsi="Cambria Math"/>
                          <w:sz w:val="21"/>
                        </w:rPr>
                        <m:t xml:space="preserve">p</m:t>
                      </m:r>
                    </m:sub>
                    <m:sup>
                      <m:r>
                        <m:rPr>
                          <m:sty m:val="i"/>
                        </m:rPr>
                        <w:rPr>
                          <w:rFonts w:ascii="Cambria Math" w:hAnsi="Cambria Math"/>
                          <w:sz w:val="21"/>
                        </w:rPr>
                        <m:t xml:space="preserve">h</m:t>
                      </m:r>
                    </m:sup>
                  </m:sSubSup>
                  <m:d>
                    <m:dPr>
                      <m:begChr m:val="("/>
                      <m:endChr m:val=")"/>
                    </m:dPr>
                    <m:e>
                      <m:r>
                        <m:rPr>
                          <m:sty m:val="i"/>
                        </m:rPr>
                        <w:rPr>
                          <w:rFonts w:ascii="Cambria Math" w:hAnsi="Cambria Math"/>
                          <w:sz w:val="21"/>
                        </w:rPr>
                        <m:t xml:space="preserve">B(x); </m:t>
                      </m:r>
                      <m:sSub>
                        <m:e>
                          <m:r>
                            <m:rPr>
                              <m:sty m:val="i"/>
                            </m:rPr>
                            <w:rPr>
                              <w:rFonts w:ascii="Cambria Math" w:hAnsi="Cambria Math"/>
                              <w:sz w:val="21"/>
                            </w:rPr>
                            <m:t xml:space="preserve">θ</m:t>
                          </m:r>
                        </m:e>
                        <m:sub>
                          <m:r>
                            <m:rPr>
                              <m:sty m:val="i"/>
                            </m:rPr>
                            <w:rPr>
                              <w:rFonts w:ascii="Cambria Math" w:hAnsi="Cambria Math"/>
                              <w:sz w:val="21"/>
                            </w:rPr>
                            <m:t xml:space="preserve">a</m:t>
                          </m:r>
                        </m:sub>
                      </m:sSub>
                    </m:e>
                  </m:d>
                </m:e>
              </m:d>
            </m:oMath>
            <w:r>
              <w:rPr>
                <w:rFonts w:ascii="Times New Roman" w:hAnsi="Times New Roman" w:eastAsia="宋体"/>
                <w:b w:val="0"/>
                <w:sz w:val="21"/>
              </w:rPr>
              <w:tab/>
              <w:t>(3)</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θₐ 分别取基座模型和已开始适应的检查点，h 取 1 步或 4 步；小批次 B(x) 包含一个目标样本及七个条件匹配样本。方案将一万条短更新标签分配于覆盖、不确定性和选择边界采样，并在相同配置、任务、起点与步数组内归一化。代理监督学习大范围的排序结构，短更新监督修正关键区域的排序偏差；后者反映局部小批次更新效果，并非单个样本在完整训练中的独立因果贡献。</w:t>
            </w:r>
          </w:p>
          <w:p>
            <w:pPr>
              <w:keepNext/>
              <w:keepLines w:val="0"/>
              <w:pageBreakBefore w:val="0"/>
              <w:widowControl/>
              <w:spacing w:before="140" w:after="80" w:line="340" w:lineRule="exact"/>
              <w:ind w:firstLine="0" w:left="0" w:right="0"/>
              <w:jc w:val="both"/>
              <w:snapToGrid w:val="0"/>
            </w:pPr>
            <w:r>
              <w:rPr>
                <w:rFonts w:ascii="Times New Roman" w:hAnsi="Times New Roman" w:eastAsia="宋体"/>
                <w:b/>
                <w:sz w:val="21"/>
              </w:rPr>
              <w:t>2.4 条件评分与聚类配额选择</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条件评分器分别编码样本、配置和任务，使用 FiLM 将配置与任务信息转化为样本特征的缩放和平移，并用双线性交互表示样本—配置匹配关系。训练先蒸馏代理排序，再联合短更新排序、回归及不确定性损失。评分器输出效用均值预测 μ̂ 和输入相关的不确定性尺度 σ̂，在线排序采用：</w:t>
            </w:r>
          </w:p>
          <w:p>
            <w:pPr>
              <w:keepNext w:val="0"/>
              <w:keepLines/>
              <w:pageBreakBefore w:val="0"/>
              <w:widowControl/>
              <w:spacing w:before="80" w:after="120" w:line="288" w:lineRule="auto"/>
              <w:ind w:firstLine="0" w:left="0" w:right="0"/>
              <w:jc w:val="both"/>
              <w:tabs>
                <w:tab w:pos="4252" w:val="center"/>
                <w:tab w:pos="8617" w:val="right"/>
              </w:tabs>
              <w:snapToGrid w:val="0"/>
            </w:pPr>
            <w:r>
              <w:rPr>
                <w:rFonts w:ascii="Times New Roman" w:hAnsi="Times New Roman" w:eastAsia="宋体"/>
                <w:b w:val="0"/>
                <w:sz w:val="21"/>
              </w:rPr>
            </w:r>
            <w:r>
              <w:rPr>
                <w:rFonts w:ascii="Times New Roman" w:hAnsi="Times New Roman" w:eastAsia="宋体"/>
                <w:b w:val="0"/>
                <w:sz w:val="21"/>
              </w:rPr>
              <w:tab/>
            </w:r>
            <m:oMath>
              <m:r>
                <m:rPr>
                  <m:sty m:val="i"/>
                </m:rPr>
                <w:rPr>
                  <w:rFonts w:ascii="Cambria Math" w:hAnsi="Cambria Math"/>
                  <w:sz w:val="21"/>
                </w:rPr>
                <m:t xml:space="preserve">q(x) = </m:t>
              </m:r>
              <m:sSub>
                <m:e>
                  <m:acc>
                    <m:accPr>
                      <m:chr m:val="̂"/>
                    </m:accPr>
                    <m:e>
                      <m:r>
                        <m:rPr>
                          <m:sty m:val="i"/>
                        </m:rPr>
                        <w:rPr>
                          <w:rFonts w:ascii="Cambria Math" w:hAnsi="Cambria Math"/>
                          <w:sz w:val="21"/>
                        </w:rPr>
                        <m:t xml:space="preserve">μ</m:t>
                      </m:r>
                    </m:e>
                  </m:acc>
                </m:e>
                <m:sub>
                  <m:r>
                    <m:rPr>
                      <m:sty m:val="i"/>
                    </m:rPr>
                    <w:rPr>
                      <w:rFonts w:ascii="Cambria Math" w:hAnsi="Cambria Math"/>
                      <w:sz w:val="21"/>
                    </w:rPr>
                    <m:t xml:space="preserve">φ</m:t>
                  </m:r>
                </m:sub>
              </m:sSub>
              <m:r>
                <m:rPr>
                  <m:sty m:val="i"/>
                </m:rPr>
                <w:rPr>
                  <w:rFonts w:ascii="Cambria Math" w:hAnsi="Cambria Math"/>
                  <w:sz w:val="21"/>
                </w:rPr>
                <m:t xml:space="preserve">(x,</m:t>
              </m:r>
              <m:sSup>
                <m:e>
                  <m:r>
                    <m:rPr>
                      <m:sty m:val="i"/>
                    </m:rPr>
                    <w:rPr>
                      <w:rFonts w:ascii="Cambria Math" w:hAnsi="Cambria Math"/>
                      <w:sz w:val="21"/>
                    </w:rPr>
                    <m:t xml:space="preserve">p</m:t>
                  </m:r>
                </m:e>
                <m:sup>
                  <m:r>
                    <m:rPr>
                      <m:sty m:val="i"/>
                    </m:rPr>
                    <w:rPr>
                      <w:rFonts w:ascii="Cambria Math" w:hAnsi="Cambria Math"/>
                      <w:sz w:val="21"/>
                    </w:rPr>
                    <m:t xml:space="preserve">*</m:t>
                  </m:r>
                </m:sup>
              </m:sSup>
              <m:r>
                <m:rPr>
                  <m:sty m:val="i"/>
                </m:rPr>
                <w:rPr>
                  <w:rFonts w:ascii="Cambria Math" w:hAnsi="Cambria Math"/>
                  <w:sz w:val="21"/>
                </w:rPr>
                <m:t xml:space="preserve">,</m:t>
              </m:r>
              <m:sSup>
                <m:e>
                  <m:r>
                    <m:rPr>
                      <m:sty m:val="i"/>
                    </m:rPr>
                    <w:rPr>
                      <w:rFonts w:ascii="Cambria Math" w:hAnsi="Cambria Math"/>
                      <w:sz w:val="21"/>
                    </w:rPr>
                    <m:t xml:space="preserve">t</m:t>
                  </m:r>
                </m:e>
                <m:sup>
                  <m:r>
                    <m:rPr>
                      <m:sty m:val="i"/>
                    </m:rPr>
                    <w:rPr>
                      <w:rFonts w:ascii="Cambria Math" w:hAnsi="Cambria Math"/>
                      <w:sz w:val="21"/>
                    </w:rPr>
                    <m:t xml:space="preserve">*</m:t>
                  </m:r>
                </m:sup>
              </m:sSup>
              <m:r>
                <m:rPr>
                  <m:sty m:val="i"/>
                </m:rPr>
                <w:rPr>
                  <w:rFonts w:ascii="Cambria Math" w:hAnsi="Cambria Math"/>
                  <w:sz w:val="21"/>
                </w:rPr>
                <m:t xml:space="preserve">)</m:t>
              </m:r>
              <m:r>
                <m:rPr>
                  <m:sty m:val="i"/>
                </m:rPr>
                <w:rPr>
                  <w:rFonts w:ascii="Cambria Math" w:hAnsi="Cambria Math"/>
                  <w:sz w:val="21"/>
                </w:rPr>
                <m:t xml:space="preserve"> − 0.2</m:t>
              </m:r>
              <m:sSub>
                <m:e>
                  <m:acc>
                    <m:accPr>
                      <m:chr m:val="̂"/>
                    </m:accPr>
                    <m:e>
                      <m:r>
                        <m:rPr>
                          <m:sty m:val="i"/>
                        </m:rPr>
                        <w:rPr>
                          <w:rFonts w:ascii="Cambria Math" w:hAnsi="Cambria Math"/>
                          <w:sz w:val="21"/>
                        </w:rPr>
                        <m:t xml:space="preserve">σ</m:t>
                      </m:r>
                    </m:e>
                  </m:acc>
                </m:e>
                <m:sub>
                  <m:r>
                    <m:rPr>
                      <m:sty m:val="i"/>
                    </m:rPr>
                    <w:rPr>
                      <w:rFonts w:ascii="Cambria Math" w:hAnsi="Cambria Math"/>
                      <w:sz w:val="21"/>
                    </w:rPr>
                    <m:t xml:space="preserve">φ</m:t>
                  </m:r>
                </m:sub>
              </m:sSub>
              <m:r>
                <m:rPr>
                  <m:sty m:val="i"/>
                </m:rPr>
                <w:rPr>
                  <w:rFonts w:ascii="Cambria Math" w:hAnsi="Cambria Math"/>
                  <w:sz w:val="21"/>
                </w:rPr>
                <m:t xml:space="preserve">(x,</m:t>
              </m:r>
              <m:sSup>
                <m:e>
                  <m:r>
                    <m:rPr>
                      <m:sty m:val="i"/>
                    </m:rPr>
                    <w:rPr>
                      <w:rFonts w:ascii="Cambria Math" w:hAnsi="Cambria Math"/>
                      <w:sz w:val="21"/>
                    </w:rPr>
                    <m:t xml:space="preserve">p</m:t>
                  </m:r>
                </m:e>
                <m:sup>
                  <m:r>
                    <m:rPr>
                      <m:sty m:val="i"/>
                    </m:rPr>
                    <w:rPr>
                      <w:rFonts w:ascii="Cambria Math" w:hAnsi="Cambria Math"/>
                      <w:sz w:val="21"/>
                    </w:rPr>
                    <m:t xml:space="preserve">*</m:t>
                  </m:r>
                </m:sup>
              </m:sSup>
              <m:r>
                <m:rPr>
                  <m:sty m:val="i"/>
                </m:rPr>
                <w:rPr>
                  <w:rFonts w:ascii="Cambria Math" w:hAnsi="Cambria Math"/>
                  <w:sz w:val="21"/>
                </w:rPr>
                <m:t xml:space="preserve">,</m:t>
              </m:r>
              <m:sSup>
                <m:e>
                  <m:r>
                    <m:rPr>
                      <m:sty m:val="i"/>
                    </m:rPr>
                    <w:rPr>
                      <w:rFonts w:ascii="Cambria Math" w:hAnsi="Cambria Math"/>
                      <w:sz w:val="21"/>
                    </w:rPr>
                    <m:t xml:space="preserve">t</m:t>
                  </m:r>
                </m:e>
                <m:sup>
                  <m:r>
                    <m:rPr>
                      <m:sty m:val="i"/>
                    </m:rPr>
                    <w:rPr>
                      <w:rFonts w:ascii="Cambria Math" w:hAnsi="Cambria Math"/>
                      <w:sz w:val="21"/>
                    </w:rPr>
                    <m:t xml:space="preserve">*</m:t>
                  </m:r>
                </m:sup>
              </m:sSup>
              <m:r>
                <m:rPr>
                  <m:sty m:val="i"/>
                </m:rPr>
                <w:rPr>
                  <w:rFonts w:ascii="Cambria Math" w:hAnsi="Cambria Math"/>
                  <w:sz w:val="21"/>
                </w:rPr>
                <m:t xml:space="preserve">)</m:t>
              </m:r>
            </m:oMath>
            <w:r>
              <w:rPr>
                <w:rFonts w:ascii="Times New Roman" w:hAnsi="Times New Roman" w:eastAsia="宋体"/>
                <w:b w:val="0"/>
                <w:sz w:val="21"/>
              </w:rPr>
              <w:tab/>
              <w:t>(4)</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不确定性项降低预测噪声较大样本的优先级，用于排序惩罚而非置信区间。为缓解高分样本过于集中，进一步在语义空间聚类。设 Cₖ 为第 k 个簇，vₖ 为簇内前 10% 样本的平均保守分数，vₖ⁺ 为其正部，则簇配额为：</w:t>
            </w:r>
          </w:p>
          <w:p>
            <w:pPr>
              <w:keepNext w:val="0"/>
              <w:keepLines/>
              <w:pageBreakBefore w:val="0"/>
              <w:widowControl/>
              <w:spacing w:before="80" w:after="120" w:line="288" w:lineRule="auto"/>
              <w:ind w:firstLine="0" w:left="0" w:right="0"/>
              <w:jc w:val="both"/>
              <w:tabs>
                <w:tab w:pos="4252" w:val="center"/>
                <w:tab w:pos="8617" w:val="right"/>
              </w:tabs>
              <w:snapToGrid w:val="0"/>
            </w:pPr>
            <w:r>
              <w:rPr>
                <w:rFonts w:ascii="Times New Roman" w:hAnsi="Times New Roman" w:eastAsia="宋体"/>
                <w:b w:val="0"/>
                <w:sz w:val="21"/>
              </w:rPr>
            </w:r>
            <w:r>
              <w:rPr>
                <w:rFonts w:ascii="Times New Roman" w:hAnsi="Times New Roman" w:eastAsia="宋体"/>
                <w:b w:val="0"/>
                <w:sz w:val="21"/>
              </w:rPr>
              <w:tab/>
            </w:r>
            <m:oMath>
              <m:sSub>
                <m:e>
                  <m:r>
                    <m:rPr>
                      <m:sty m:val="i"/>
                    </m:rPr>
                    <w:rPr>
                      <w:rFonts w:ascii="Cambria Math" w:hAnsi="Cambria Math"/>
                      <w:sz w:val="21"/>
                    </w:rPr>
                    <m:t xml:space="preserve">b</m:t>
                  </m:r>
                </m:e>
                <m:sub>
                  <m:r>
                    <m:rPr>
                      <m:sty m:val="i"/>
                    </m:rPr>
                    <w:rPr>
                      <w:rFonts w:ascii="Cambria Math" w:hAnsi="Cambria Math"/>
                      <w:sz w:val="21"/>
                    </w:rPr>
                    <m:t xml:space="preserve">k</m:t>
                  </m:r>
                </m:sub>
              </m:sSub>
              <m:r>
                <m:rPr>
                  <m:sty m:val="i"/>
                </m:rPr>
                <w:rPr>
                  <w:rFonts w:ascii="Cambria Math" w:hAnsi="Cambria Math"/>
                  <w:sz w:val="21"/>
                </w:rPr>
                <m:t xml:space="preserve"> = </m:t>
              </m:r>
              <m:r>
                <m:rPr>
                  <m:sty m:val="p"/>
                </m:rPr>
                <w:rPr>
                  <w:rFonts w:ascii="Cambria Math" w:hAnsi="Cambria Math"/>
                  <w:sz w:val="21"/>
                </w:rPr>
                <m:t xml:space="preserve">round</m:t>
              </m:r>
              <m:d>
                <m:dPr>
                  <m:begChr m:val="["/>
                  <m:endChr m:val="]"/>
                </m:dPr>
                <m:e>
                  <m:r>
                    <m:rPr>
                      <m:sty m:val="i"/>
                    </m:rPr>
                    <w:rPr>
                      <w:rFonts w:ascii="Cambria Math" w:hAnsi="Cambria Math"/>
                      <w:sz w:val="21"/>
                    </w:rPr>
                    <m:t xml:space="preserve">B </m:t>
                  </m:r>
                  <m:f>
                    <m:num>
                      <m:sSup>
                        <m:e>
                          <m:d>
                            <m:dPr>
                              <m:begChr m:val="("/>
                              <m:endChr m:val=")"/>
                            </m:dPr>
                            <m:e>
                              <m:sSubSup>
                                <m:e>
                                  <m:r>
                                    <m:rPr>
                                      <m:sty m:val="i"/>
                                    </m:rPr>
                                    <w:rPr>
                                      <w:rFonts w:ascii="Cambria Math" w:hAnsi="Cambria Math"/>
                                      <w:sz w:val="21"/>
                                    </w:rPr>
                                    <m:t xml:space="preserve">v</m:t>
                                  </m:r>
                                </m:e>
                                <m:sub>
                                  <m:r>
                                    <m:rPr>
                                      <m:sty m:val="i"/>
                                    </m:rPr>
                                    <w:rPr>
                                      <w:rFonts w:ascii="Cambria Math" w:hAnsi="Cambria Math"/>
                                      <w:sz w:val="21"/>
                                    </w:rPr>
                                    <m:t xml:space="preserve">k</m:t>
                                  </m:r>
                                </m:sub>
                                <m:sup>
                                  <m:r>
                                    <m:rPr>
                                      <m:sty m:val="i"/>
                                    </m:rPr>
                                    <w:rPr>
                                      <w:rFonts w:ascii="Cambria Math" w:hAnsi="Cambria Math"/>
                                      <w:sz w:val="21"/>
                                    </w:rPr>
                                    <m:t xml:space="preserve">+</m:t>
                                  </m:r>
                                </m:sup>
                              </m:sSubSup>
                            </m:e>
                          </m:d>
                        </m:e>
                        <m:sup>
                          <m:r>
                            <m:rPr>
                              <m:sty m:val="i"/>
                            </m:rPr>
                            <w:rPr>
                              <w:rFonts w:ascii="Cambria Math" w:hAnsi="Cambria Math"/>
                              <w:sz w:val="21"/>
                            </w:rPr>
                            <m:t xml:space="preserve">0.6</m:t>
                          </m:r>
                        </m:sup>
                      </m:sSup>
                      <m:sSup>
                        <m:e>
                          <m:r>
                            <m:rPr>
                              <m:sty m:val="i"/>
                            </m:rPr>
                            <w:rPr>
                              <w:rFonts w:ascii="Cambria Math" w:hAnsi="Cambria Math"/>
                              <w:sz w:val="21"/>
                            </w:rPr>
                            <m:t xml:space="preserve">|</m:t>
                          </m:r>
                          <m:sSub>
                            <m:e>
                              <m:r>
                                <m:rPr>
                                  <m:sty m:val="i"/>
                                </m:rPr>
                                <w:rPr>
                                  <w:rFonts w:ascii="Cambria Math" w:hAnsi="Cambria Math"/>
                                  <w:sz w:val="21"/>
                                </w:rPr>
                                <m:t xml:space="preserve">C</m:t>
                              </m:r>
                            </m:e>
                            <m:sub>
                              <m:r>
                                <m:rPr>
                                  <m:sty m:val="i"/>
                                </m:rPr>
                                <w:rPr>
                                  <w:rFonts w:ascii="Cambria Math" w:hAnsi="Cambria Math"/>
                                  <w:sz w:val="21"/>
                                </w:rPr>
                                <m:t xml:space="preserve">k</m:t>
                              </m:r>
                            </m:sub>
                          </m:sSub>
                          <m:r>
                            <m:rPr>
                              <m:sty m:val="i"/>
                            </m:rPr>
                            <w:rPr>
                              <w:rFonts w:ascii="Cambria Math" w:hAnsi="Cambria Math"/>
                              <w:sz w:val="21"/>
                            </w:rPr>
                            <m:t xml:space="preserve">|</m:t>
                          </m:r>
                        </m:e>
                        <m:sup>
                          <m:r>
                            <m:rPr>
                              <m:sty m:val="i"/>
                            </m:rPr>
                            <w:rPr>
                              <w:rFonts w:ascii="Cambria Math" w:hAnsi="Cambria Math"/>
                              <w:sz w:val="21"/>
                            </w:rPr>
                            <m:t xml:space="preserve">0.4</m:t>
                          </m:r>
                        </m:sup>
                      </m:sSup>
                    </m:num>
                    <m:den>
                      <m:nary>
                        <m:naryPr>
                          <m:chr m:val="∑"/>
                          <m:limLoc m:val="subSup"/>
                          <m:supHide m:val="1"/>
                        </m:naryPr>
                        <m:sub>
                          <m:r>
                            <m:rPr>
                              <m:sty m:val="i"/>
                            </m:rPr>
                            <w:rPr>
                              <w:rFonts w:ascii="Cambria Math" w:hAnsi="Cambria Math"/>
                              <w:sz w:val="21"/>
                            </w:rPr>
                            <m:t xml:space="preserve">j</m:t>
                          </m:r>
                        </m:sub>
                        <m:sup/>
                        <m:e>
                          <m:sSup>
                            <m:e>
                              <m:d>
                                <m:dPr>
                                  <m:begChr m:val="("/>
                                  <m:endChr m:val=")"/>
                                </m:dPr>
                                <m:e>
                                  <m:sSubSup>
                                    <m:e>
                                      <m:r>
                                        <m:rPr>
                                          <m:sty m:val="i"/>
                                        </m:rPr>
                                        <w:rPr>
                                          <w:rFonts w:ascii="Cambria Math" w:hAnsi="Cambria Math"/>
                                          <w:sz w:val="21"/>
                                        </w:rPr>
                                        <m:t xml:space="preserve">v</m:t>
                                      </m:r>
                                    </m:e>
                                    <m:sub>
                                      <m:r>
                                        <m:rPr>
                                          <m:sty m:val="i"/>
                                        </m:rPr>
                                        <w:rPr>
                                          <w:rFonts w:ascii="Cambria Math" w:hAnsi="Cambria Math"/>
                                          <w:sz w:val="21"/>
                                        </w:rPr>
                                        <m:t xml:space="preserve">j</m:t>
                                      </m:r>
                                    </m:sub>
                                    <m:sup>
                                      <m:r>
                                        <m:rPr>
                                          <m:sty m:val="i"/>
                                        </m:rPr>
                                        <w:rPr>
                                          <w:rFonts w:ascii="Cambria Math" w:hAnsi="Cambria Math"/>
                                          <w:sz w:val="21"/>
                                        </w:rPr>
                                        <m:t xml:space="preserve">+</m:t>
                                      </m:r>
                                    </m:sup>
                                  </m:sSubSup>
                                </m:e>
                              </m:d>
                            </m:e>
                            <m:sup>
                              <m:r>
                                <m:rPr>
                                  <m:sty m:val="i"/>
                                </m:rPr>
                                <w:rPr>
                                  <w:rFonts w:ascii="Cambria Math" w:hAnsi="Cambria Math"/>
                                  <w:sz w:val="21"/>
                                </w:rPr>
                                <m:t xml:space="preserve">0.6</m:t>
                              </m:r>
                            </m:sup>
                          </m:sSup>
                          <m:sSup>
                            <m:e>
                              <m:r>
                                <m:rPr>
                                  <m:sty m:val="i"/>
                                </m:rPr>
                                <w:rPr>
                                  <w:rFonts w:ascii="Cambria Math" w:hAnsi="Cambria Math"/>
                                  <w:sz w:val="21"/>
                                </w:rPr>
                                <m:t xml:space="preserve">|</m:t>
                              </m:r>
                              <m:sSub>
                                <m:e>
                                  <m:r>
                                    <m:rPr>
                                      <m:sty m:val="i"/>
                                    </m:rPr>
                                    <w:rPr>
                                      <w:rFonts w:ascii="Cambria Math" w:hAnsi="Cambria Math"/>
                                      <w:sz w:val="21"/>
                                    </w:rPr>
                                    <m:t xml:space="preserve">C</m:t>
                                  </m:r>
                                </m:e>
                                <m:sub>
                                  <m:r>
                                    <m:rPr>
                                      <m:sty m:val="i"/>
                                    </m:rPr>
                                    <w:rPr>
                                      <w:rFonts w:ascii="Cambria Math" w:hAnsi="Cambria Math"/>
                                      <w:sz w:val="21"/>
                                    </w:rPr>
                                    <m:t xml:space="preserve">j</m:t>
                                  </m:r>
                                </m:sub>
                              </m:sSub>
                              <m:r>
                                <m:rPr>
                                  <m:sty m:val="i"/>
                                </m:rPr>
                                <w:rPr>
                                  <w:rFonts w:ascii="Cambria Math" w:hAnsi="Cambria Math"/>
                                  <w:sz w:val="21"/>
                                </w:rPr>
                                <m:t xml:space="preserve">|</m:t>
                              </m:r>
                            </m:e>
                            <m:sup>
                              <m:r>
                                <m:rPr>
                                  <m:sty m:val="i"/>
                                </m:rPr>
                                <w:rPr>
                                  <w:rFonts w:ascii="Cambria Math" w:hAnsi="Cambria Math"/>
                                  <w:sz w:val="21"/>
                                </w:rPr>
                                <m:t xml:space="preserve">0.4</m:t>
                              </m:r>
                            </m:sup>
                          </m:sSup>
                        </m:e>
                      </m:nary>
                    </m:den>
                  </m:f>
                </m:e>
              </m:d>
              <m:r>
                <m:rPr>
                  <m:sty m:val="i"/>
                </m:rPr>
                <w:rPr>
                  <w:rFonts w:ascii="Cambria Math" w:hAnsi="Cambria Math"/>
                  <w:sz w:val="21"/>
                </w:rPr>
                <m:t xml:space="preserve">,   </m:t>
              </m:r>
              <m:sSubSup>
                <m:e>
                  <m:r>
                    <m:rPr>
                      <m:sty m:val="i"/>
                    </m:rPr>
                    <w:rPr>
                      <w:rFonts w:ascii="Cambria Math" w:hAnsi="Cambria Math"/>
                      <w:sz w:val="21"/>
                    </w:rPr>
                    <m:t xml:space="preserve">v</m:t>
                  </m:r>
                </m:e>
                <m:sub>
                  <m:r>
                    <m:rPr>
                      <m:sty m:val="i"/>
                    </m:rPr>
                    <w:rPr>
                      <w:rFonts w:ascii="Cambria Math" w:hAnsi="Cambria Math"/>
                      <w:sz w:val="21"/>
                    </w:rPr>
                    <m:t xml:space="preserve">k</m:t>
                  </m:r>
                </m:sub>
                <m:sup>
                  <m:r>
                    <m:rPr>
                      <m:sty m:val="i"/>
                    </m:rPr>
                    <w:rPr>
                      <w:rFonts w:ascii="Cambria Math" w:hAnsi="Cambria Math"/>
                      <w:sz w:val="21"/>
                    </w:rPr>
                    <m:t xml:space="preserve">+</m:t>
                  </m:r>
                </m:sup>
              </m:sSubSup>
              <m:r>
                <m:rPr>
                  <m:sty m:val="i"/>
                </m:rPr>
                <w:rPr>
                  <w:rFonts w:ascii="Cambria Math" w:hAnsi="Cambria Math"/>
                  <w:sz w:val="21"/>
                </w:rPr>
                <m:t xml:space="preserve"> = </m:t>
              </m:r>
              <m:r>
                <m:rPr>
                  <m:sty m:val="p"/>
                </m:rPr>
                <w:rPr>
                  <w:rFonts w:ascii="Cambria Math" w:hAnsi="Cambria Math"/>
                  <w:sz w:val="21"/>
                </w:rPr>
                <m:t xml:space="preserve">max</m:t>
              </m:r>
              <m:d>
                <m:dPr>
                  <m:begChr m:val="("/>
                  <m:endChr m:val=")"/>
                </m:dPr>
                <m:e>
                  <m:sSub>
                    <m:e>
                      <m:r>
                        <m:rPr>
                          <m:sty m:val="i"/>
                        </m:rPr>
                        <w:rPr>
                          <w:rFonts w:ascii="Cambria Math" w:hAnsi="Cambria Math"/>
                          <w:sz w:val="21"/>
                        </w:rPr>
                        <m:t xml:space="preserve">v</m:t>
                      </m:r>
                    </m:e>
                    <m:sub>
                      <m:r>
                        <m:rPr>
                          <m:sty m:val="i"/>
                        </m:rPr>
                        <w:rPr>
                          <w:rFonts w:ascii="Cambria Math" w:hAnsi="Cambria Math"/>
                          <w:sz w:val="21"/>
                        </w:rPr>
                        <m:t xml:space="preserve">k</m:t>
                      </m:r>
                    </m:sub>
                  </m:sSub>
                  <m:r>
                    <m:rPr>
                      <m:sty m:val="i"/>
                    </m:rPr>
                    <w:rPr>
                      <w:rFonts w:ascii="Cambria Math" w:hAnsi="Cambria Math"/>
                      <w:sz w:val="21"/>
                    </w:rPr>
                    <m:t xml:space="preserve">,0</m:t>
                  </m:r>
                </m:e>
              </m:d>
            </m:oMath>
            <w:r>
              <w:rPr>
                <w:rFonts w:ascii="Times New Roman" w:hAnsi="Times New Roman" w:eastAsia="宋体"/>
                <w:b w:val="0"/>
                <w:sz w:val="21"/>
              </w:rPr>
              <w:tab/>
              <w:t>(5)</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配额结合目标效用与簇规模，再在各簇内选择分数最高的样本，并通过确定性余数处理满足总预算。30 万候选样本按既定规则形成 547 个簇。共享语义划分提供覆盖结构，目标条件分数决定每次选择的预算分布。</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评分器在已见配置及结构接近的目标上直接使用；对同一家族内较大偏移或未见家族，存在兼容标签时进行小规模校准，否则采用逐目标选择方法。该支持策略将可复用评分与适用边界结合，避免将固定骨干上的共享表征直接解释为任意配置、任意骨干均可迁移。</w:t>
            </w:r>
          </w:p>
          <w:p>
            <w:pPr>
              <w:keepNext/>
              <w:keepLines w:val="0"/>
              <w:pageBreakBefore w:val="0"/>
              <w:widowControl/>
              <w:spacing w:before="180" w:after="100" w:line="360" w:lineRule="exact"/>
              <w:ind w:firstLine="0" w:left="0" w:right="0"/>
              <w:jc w:val="both"/>
              <w:snapToGrid w:val="0"/>
            </w:pPr>
            <w:r>
              <w:rPr>
                <w:rFonts w:ascii="Times New Roman" w:hAnsi="Times New Roman" w:eastAsia="宋体"/>
                <w:b/>
                <w:sz w:val="21"/>
              </w:rPr>
              <w:t>3 实验</w:t>
            </w:r>
          </w:p>
          <w:p>
            <w:pPr>
              <w:keepNext/>
              <w:keepLines w:val="0"/>
              <w:pageBreakBefore w:val="0"/>
              <w:widowControl/>
              <w:spacing w:before="140" w:after="80" w:line="340" w:lineRule="exact"/>
              <w:ind w:firstLine="0" w:left="0" w:right="0"/>
              <w:jc w:val="both"/>
              <w:snapToGrid w:val="0"/>
            </w:pPr>
            <w:r>
              <w:rPr>
                <w:rFonts w:ascii="Times New Roman" w:hAnsi="Times New Roman" w:eastAsia="宋体"/>
                <w:b/>
                <w:sz w:val="21"/>
              </w:rPr>
              <w:t>3.1 实验设置</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实验围绕下游任务质量、关键模块作用和多配置成本三方面展开。采用 Llama-2-7B 骨干，从 30 万条混合指令候选数据中选择 10%，即 3 万条样本。任务覆盖 GSM8K、HumanEval、MMLU 与 TyDiQA，分别使用精确匹配率（EM）、Pass@1、准确率（Acc）和 F1。每个任务摘要含 32 个训练或开发侧示例；HumanEval 无训练划分，使用独立代码数据构建摘要，并与最终评测数据分离。</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主实验包括 AD-b64、IA3-attnmlp、L-r16-qkvo、L-r8-mlp 与 L-r8-qv 五种已见配置，覆盖 Adapter、IA3 和不同 LoRA 更新位置及容量。对比方法为随机选择 Random、表征相似度方法 RDS+、共享梯度方法 Influence 及逐配置 LESS。各方法采用一致的骨干、PEFT 配方和评测协议，下游训练设置为 1000 步 AdamW、全局批量 128、最大序列长度 1024。成本使用 GPU 小时统计，即墙钟时间乘以 GPU 数量。</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以下结果汇总论文实验。表中保留均值，描述性统计不用于独立样本显著性结论。</w:t>
            </w:r>
          </w:p>
          <w:p>
            <w:pPr>
              <w:keepNext/>
              <w:keepLines w:val="0"/>
              <w:pageBreakBefore w:val="0"/>
              <w:widowControl/>
              <w:spacing w:before="140" w:after="80" w:line="340" w:lineRule="exact"/>
              <w:ind w:firstLine="0" w:left="0" w:right="0"/>
              <w:jc w:val="both"/>
              <w:snapToGrid w:val="0"/>
            </w:pPr>
            <w:r>
              <w:rPr>
                <w:rFonts w:ascii="Times New Roman" w:hAnsi="Times New Roman" w:eastAsia="宋体"/>
                <w:b/>
                <w:sz w:val="21"/>
              </w:rPr>
              <w:t>3.2 主实验结果</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表 1 汇总了各任务在五种 PEFT 配置上的平均结果。PCU-Select 的四任务宏平均为 35.18，逐配置 LESS 为 35.14，两者差值为 0.04 个指标点，整体质量接近；相对 RDS+ 和 Influence 分别增加 0.74 和 0.50 个点。</w:t>
            </w:r>
          </w:p>
          <w:p>
            <w:pPr>
              <w:keepNext/>
              <w:keepLines w:val="0"/>
              <w:pageBreakBefore w:val="0"/>
              <w:widowControl/>
              <w:spacing w:before="80" w:after="80" w:line="320" w:lineRule="exact"/>
              <w:ind w:firstLine="0" w:left="0" w:right="0"/>
              <w:jc w:val="center"/>
              <w:snapToGrid w:val="0"/>
            </w:pPr>
            <w:r>
              <w:rPr>
                <w:rFonts w:ascii="Times New Roman" w:hAnsi="Times New Roman" w:eastAsia="宋体"/>
                <w:b/>
                <w:sz w:val="21"/>
              </w:rPr>
              <w:t>表 1  四任务主实验结果</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701"/>
              <w:gridCol w:w="1361"/>
              <w:gridCol w:w="1587"/>
              <w:gridCol w:w="1304"/>
              <w:gridCol w:w="1304"/>
              <w:gridCol w:w="1361"/>
            </w:tblGrid>
            <w:tr>
              <w:trPr>
                <w:tblHeader/>
                <w:cantSplit/>
              </w:trPr>
              <w:tc>
                <w:tcPr>
                  <w:tcW w:type="dxa" w:w="1701"/>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方法</w:t>
                  </w:r>
                </w:p>
              </w:tc>
              <w:tc>
                <w:tcPr>
                  <w:tcW w:type="dxa" w:w="1361"/>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GSM8K</w:t>
                    <w:br/>
                    <w:t>EM</w:t>
                  </w:r>
                </w:p>
              </w:tc>
              <w:tc>
                <w:tcPr>
                  <w:tcW w:type="dxa" w:w="1587"/>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HumanEval</w:t>
                    <w:br/>
                    <w:t>Pass@1</w:t>
                  </w:r>
                </w:p>
              </w:tc>
              <w:tc>
                <w:tcPr>
                  <w:tcW w:type="dxa" w:w="1304"/>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MMLU</w:t>
                    <w:br/>
                    <w:t>Acc</w:t>
                  </w:r>
                </w:p>
              </w:tc>
              <w:tc>
                <w:tcPr>
                  <w:tcW w:type="dxa" w:w="1304"/>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TyDiQA</w:t>
                    <w:br/>
                    <w:t>F1</w:t>
                  </w:r>
                </w:p>
              </w:tc>
              <w:tc>
                <w:tcPr>
                  <w:tcW w:type="dxa" w:w="1361"/>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宏平均</w:t>
                  </w:r>
                </w:p>
              </w:tc>
            </w:tr>
            <w:tr>
              <w:trPr>
                <w:cantSplit/>
              </w:trPr>
              <w:tc>
                <w:tcPr>
                  <w:tcW w:type="dxa" w:w="170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Random</w:t>
                  </w:r>
                </w:p>
              </w:tc>
              <w:tc>
                <w:tcPr>
                  <w:tcW w:type="dxa" w:w="136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20.06</w:t>
                  </w:r>
                </w:p>
              </w:tc>
              <w:tc>
                <w:tcPr>
                  <w:tcW w:type="dxa" w:w="1587"/>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15.36</w:t>
                  </w:r>
                </w:p>
              </w:tc>
              <w:tc>
                <w:tcPr>
                  <w:tcW w:type="dxa" w:w="130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44.75</w:t>
                  </w:r>
                </w:p>
              </w:tc>
              <w:tc>
                <w:tcPr>
                  <w:tcW w:type="dxa" w:w="130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48.98</w:t>
                  </w:r>
                </w:p>
              </w:tc>
              <w:tc>
                <w:tcPr>
                  <w:tcW w:type="dxa" w:w="136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32.29</w:t>
                  </w:r>
                </w:p>
              </w:tc>
            </w:tr>
            <w:tr>
              <w:trPr>
                <w:cantSplit/>
              </w:trPr>
              <w:tc>
                <w:tcPr>
                  <w:tcW w:type="dxa" w:w="170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RDS+</w:t>
                  </w:r>
                </w:p>
              </w:tc>
              <w:tc>
                <w:tcPr>
                  <w:tcW w:type="dxa" w:w="136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21.65</w:t>
                  </w:r>
                </w:p>
              </w:tc>
              <w:tc>
                <w:tcPr>
                  <w:tcW w:type="dxa" w:w="1587"/>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16.42</w:t>
                  </w:r>
                </w:p>
              </w:tc>
              <w:tc>
                <w:tcPr>
                  <w:tcW w:type="dxa" w:w="130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47.60</w:t>
                  </w:r>
                </w:p>
              </w:tc>
              <w:tc>
                <w:tcPr>
                  <w:tcW w:type="dxa" w:w="130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52.08</w:t>
                  </w:r>
                </w:p>
              </w:tc>
              <w:tc>
                <w:tcPr>
                  <w:tcW w:type="dxa" w:w="136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34.44</w:t>
                  </w:r>
                </w:p>
              </w:tc>
            </w:tr>
            <w:tr>
              <w:trPr>
                <w:cantSplit/>
              </w:trPr>
              <w:tc>
                <w:tcPr>
                  <w:tcW w:type="dxa" w:w="170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Influence</w:t>
                  </w:r>
                </w:p>
              </w:tc>
              <w:tc>
                <w:tcPr>
                  <w:tcW w:type="dxa" w:w="136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21.62</w:t>
                  </w:r>
                </w:p>
              </w:tc>
              <w:tc>
                <w:tcPr>
                  <w:tcW w:type="dxa" w:w="1587"/>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16.82</w:t>
                  </w:r>
                </w:p>
              </w:tc>
              <w:tc>
                <w:tcPr>
                  <w:tcW w:type="dxa" w:w="130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48.14</w:t>
                  </w:r>
                </w:p>
              </w:tc>
              <w:tc>
                <w:tcPr>
                  <w:tcW w:type="dxa" w:w="130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52.13</w:t>
                  </w:r>
                </w:p>
              </w:tc>
              <w:tc>
                <w:tcPr>
                  <w:tcW w:type="dxa" w:w="136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34.68</w:t>
                  </w:r>
                </w:p>
              </w:tc>
            </w:tr>
            <w:tr>
              <w:trPr>
                <w:cantSplit/>
              </w:trPr>
              <w:tc>
                <w:tcPr>
                  <w:tcW w:type="dxa" w:w="170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LESS</w:t>
                  </w:r>
                </w:p>
              </w:tc>
              <w:tc>
                <w:tcPr>
                  <w:tcW w:type="dxa" w:w="136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21.91</w:t>
                  </w:r>
                </w:p>
              </w:tc>
              <w:tc>
                <w:tcPr>
                  <w:tcW w:type="dxa" w:w="1587"/>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17.10</w:t>
                  </w:r>
                </w:p>
              </w:tc>
              <w:tc>
                <w:tcPr>
                  <w:tcW w:type="dxa" w:w="130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48.48</w:t>
                  </w:r>
                </w:p>
              </w:tc>
              <w:tc>
                <w:tcPr>
                  <w:tcW w:type="dxa" w:w="130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53.07</w:t>
                  </w:r>
                </w:p>
              </w:tc>
              <w:tc>
                <w:tcPr>
                  <w:tcW w:type="dxa" w:w="136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35.14</w:t>
                  </w:r>
                </w:p>
              </w:tc>
            </w:tr>
            <w:tr>
              <w:trPr>
                <w:cantSplit/>
              </w:trPr>
              <w:tc>
                <w:tcPr>
                  <w:tcW w:type="dxa" w:w="170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PCU-Select</w:t>
                  </w:r>
                </w:p>
              </w:tc>
              <w:tc>
                <w:tcPr>
                  <w:tcW w:type="dxa" w:w="136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22.20</w:t>
                  </w:r>
                </w:p>
              </w:tc>
              <w:tc>
                <w:tcPr>
                  <w:tcW w:type="dxa" w:w="1587"/>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17.06</w:t>
                  </w:r>
                </w:p>
              </w:tc>
              <w:tc>
                <w:tcPr>
                  <w:tcW w:type="dxa" w:w="130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49.14</w:t>
                  </w:r>
                </w:p>
              </w:tc>
              <w:tc>
                <w:tcPr>
                  <w:tcW w:type="dxa" w:w="130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52.30</w:t>
                  </w:r>
                </w:p>
              </w:tc>
              <w:tc>
                <w:tcPr>
                  <w:tcW w:type="dxa" w:w="1361"/>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35.18</w:t>
                  </w:r>
                </w:p>
              </w:tc>
            </w:tr>
          </w:tbl>
          <w:p>
            <w:pPr>
              <w:keepNext w:val="0"/>
              <w:keepLines w:val="0"/>
              <w:pageBreakBefore w:val="0"/>
              <w:widowControl/>
              <w:spacing w:before="0" w:after="0" w:line="40" w:lineRule="exact"/>
              <w:ind w:firstLine="0" w:left="0" w:right="0"/>
              <w:jc w:val="both"/>
              <w:snapToGrid w:val="0"/>
            </w:pPr>
            <w:r>
              <w:rPr>
                <w:rFonts w:ascii="Times New Roman" w:hAnsi="Times New Roman" w:eastAsia="宋体"/>
                <w:b w:val="0"/>
                <w:sz w:val="2"/>
              </w:rPr>
            </w:r>
          </w:p>
          <w:p>
            <w:pPr>
              <w:keepNext w:val="0"/>
              <w:keepLines w:val="0"/>
              <w:pageBreakBefore w:val="0"/>
              <w:widowControl/>
              <w:spacing w:before="0" w:after="100" w:line="280" w:lineRule="exact"/>
              <w:ind w:firstLine="0" w:left="0" w:right="0"/>
              <w:jc w:val="both"/>
              <w:snapToGrid w:val="0"/>
            </w:pPr>
            <w:r>
              <w:rPr>
                <w:rFonts w:ascii="Times New Roman" w:hAnsi="Times New Roman" w:eastAsia="宋体"/>
                <w:b w:val="0"/>
                <w:sz w:val="18"/>
              </w:rPr>
              <w:t>注：实验结果汇总。各任务列为五种已见配置的原生百分制指标均值，宏平均为四任务等权汇总；先按未舍入数据计算，再保留两位小数。</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分任务看，PCU-Select 相对 LESS 在 GSM8K 和 MMLU 上分别增加 0.29 和 0.67 个点，在 HumanEval 和 TyDiQA 上分别减少 0.04 和 0.77 个点。平均质量接近并不表示所有任务占优，后续需重点分析 TyDiQA 的差距。</w:t>
            </w:r>
          </w:p>
          <w:p>
            <w:pPr>
              <w:keepNext/>
              <w:keepLines w:val="0"/>
              <w:pageBreakBefore w:val="0"/>
              <w:widowControl/>
              <w:spacing w:before="140" w:after="80" w:line="340" w:lineRule="exact"/>
              <w:ind w:firstLine="0" w:left="0" w:right="0"/>
              <w:jc w:val="both"/>
              <w:snapToGrid w:val="0"/>
            </w:pPr>
            <w:r>
              <w:rPr>
                <w:rFonts w:ascii="Times New Roman" w:hAnsi="Times New Roman" w:eastAsia="宋体"/>
                <w:b/>
                <w:sz w:val="21"/>
              </w:rPr>
              <w:t>3.3 消融实验</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为分析各模块的作用，消融实验采用 GSM8K、HumanEval 与两个代表性 PEFT 配置，预算仍为 10%。表 2 的完整方法宏平均为 19.72，其统计范围与表 1 不同。移除 PEFT 编码产生最大的性能下降，表明配置条件是可复用评分器的重要信息；全局 Top-k 和仅代理监督也出现下降，支持在当前设置下保留语义覆盖与短更新校正。</w:t>
            </w:r>
          </w:p>
          <w:p>
            <w:pPr>
              <w:keepNext/>
              <w:keepLines w:val="0"/>
              <w:pageBreakBefore w:val="0"/>
              <w:widowControl/>
              <w:spacing w:before="80" w:after="80" w:line="320" w:lineRule="exact"/>
              <w:ind w:firstLine="0" w:left="0" w:right="0"/>
              <w:jc w:val="center"/>
              <w:snapToGrid w:val="0"/>
            </w:pPr>
            <w:r>
              <w:rPr>
                <w:rFonts w:ascii="Times New Roman" w:hAnsi="Times New Roman" w:eastAsia="宋体"/>
                <w:b/>
                <w:sz w:val="21"/>
              </w:rPr>
              <w:t>表 2  主要模块消融结果</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195"/>
              <w:gridCol w:w="1928"/>
              <w:gridCol w:w="2494"/>
            </w:tblGrid>
            <w:tr>
              <w:trPr>
                <w:tblHeader/>
                <w:cantSplit/>
              </w:trPr>
              <w:tc>
                <w:tcPr>
                  <w:tcW w:type="dxa" w:w="4195"/>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设置</w:t>
                  </w:r>
                </w:p>
              </w:tc>
              <w:tc>
                <w:tcPr>
                  <w:tcW w:type="dxa" w:w="1928"/>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宏平均</w:t>
                  </w:r>
                </w:p>
              </w:tc>
              <w:tc>
                <w:tcPr>
                  <w:tcW w:type="dxa" w:w="2494"/>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相对完整方法下降</w:t>
                  </w:r>
                </w:p>
              </w:tc>
            </w:tr>
            <w:tr>
              <w:trPr>
                <w:cantSplit/>
              </w:trPr>
              <w:tc>
                <w:tcPr>
                  <w:tcW w:type="dxa" w:w="4195"/>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完整PCU-Select</w:t>
                  </w:r>
                </w:p>
              </w:tc>
              <w:tc>
                <w:tcPr>
                  <w:tcW w:type="dxa" w:w="1928"/>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19.72</w:t>
                  </w:r>
                </w:p>
              </w:tc>
              <w:tc>
                <w:tcPr>
                  <w:tcW w:type="dxa" w:w="249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w:t>
                  </w:r>
                </w:p>
              </w:tc>
            </w:tr>
            <w:tr>
              <w:trPr>
                <w:cantSplit/>
              </w:trPr>
              <w:tc>
                <w:tcPr>
                  <w:tcW w:type="dxa" w:w="4195"/>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移除PEFT编码</w:t>
                  </w:r>
                </w:p>
              </w:tc>
              <w:tc>
                <w:tcPr>
                  <w:tcW w:type="dxa" w:w="1928"/>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18.35</w:t>
                  </w:r>
                </w:p>
              </w:tc>
              <w:tc>
                <w:tcPr>
                  <w:tcW w:type="dxa" w:w="249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1.37</w:t>
                  </w:r>
                </w:p>
              </w:tc>
            </w:tr>
            <w:tr>
              <w:trPr>
                <w:cantSplit/>
              </w:trPr>
              <w:tc>
                <w:tcPr>
                  <w:tcW w:type="dxa" w:w="4195"/>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移除任务摘要</w:t>
                  </w:r>
                </w:p>
              </w:tc>
              <w:tc>
                <w:tcPr>
                  <w:tcW w:type="dxa" w:w="1928"/>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18.90</w:t>
                  </w:r>
                </w:p>
              </w:tc>
              <w:tc>
                <w:tcPr>
                  <w:tcW w:type="dxa" w:w="249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0.82</w:t>
                  </w:r>
                </w:p>
              </w:tc>
            </w:tr>
            <w:tr>
              <w:trPr>
                <w:cantSplit/>
              </w:trPr>
              <w:tc>
                <w:tcPr>
                  <w:tcW w:type="dxa" w:w="4195"/>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仅用梯度代理标签</w:t>
                  </w:r>
                </w:p>
              </w:tc>
              <w:tc>
                <w:tcPr>
                  <w:tcW w:type="dxa" w:w="1928"/>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18.87</w:t>
                  </w:r>
                </w:p>
              </w:tc>
              <w:tc>
                <w:tcPr>
                  <w:tcW w:type="dxa" w:w="249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0.85</w:t>
                  </w:r>
                </w:p>
              </w:tc>
            </w:tr>
            <w:tr>
              <w:trPr>
                <w:cantSplit/>
              </w:trPr>
              <w:tc>
                <w:tcPr>
                  <w:tcW w:type="dxa" w:w="4195"/>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改用全局Top-k</w:t>
                  </w:r>
                </w:p>
              </w:tc>
              <w:tc>
                <w:tcPr>
                  <w:tcW w:type="dxa" w:w="1928"/>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18.64</w:t>
                  </w:r>
                </w:p>
              </w:tc>
              <w:tc>
                <w:tcPr>
                  <w:tcW w:type="dxa" w:w="249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1.08</w:t>
                  </w:r>
                </w:p>
              </w:tc>
            </w:tr>
          </w:tbl>
          <w:p>
            <w:pPr>
              <w:keepNext w:val="0"/>
              <w:keepLines w:val="0"/>
              <w:pageBreakBefore w:val="0"/>
              <w:widowControl/>
              <w:spacing w:before="0" w:after="0" w:line="40" w:lineRule="exact"/>
              <w:ind w:firstLine="0" w:left="0" w:right="0"/>
              <w:jc w:val="both"/>
              <w:snapToGrid w:val="0"/>
            </w:pPr>
            <w:r>
              <w:rPr>
                <w:rFonts w:ascii="Times New Roman" w:hAnsi="Times New Roman" w:eastAsia="宋体"/>
                <w:b w:val="0"/>
                <w:sz w:val="2"/>
              </w:rPr>
            </w:r>
          </w:p>
          <w:p>
            <w:pPr>
              <w:keepNext w:val="0"/>
              <w:keepLines w:val="0"/>
              <w:pageBreakBefore w:val="0"/>
              <w:widowControl/>
              <w:spacing w:before="0" w:after="100" w:line="280" w:lineRule="exact"/>
              <w:ind w:firstLine="0" w:left="0" w:right="0"/>
              <w:jc w:val="both"/>
              <w:snapToGrid w:val="0"/>
            </w:pPr>
            <w:r>
              <w:rPr>
                <w:rFonts w:ascii="Times New Roman" w:hAnsi="Times New Roman" w:eastAsia="宋体"/>
                <w:b w:val="0"/>
                <w:sz w:val="18"/>
              </w:rPr>
              <w:t>注：实验结果汇总。仅汇总两个任务与两个代表配置，下降量单位为原生指标点。</w:t>
            </w:r>
          </w:p>
          <w:p>
            <w:pPr>
              <w:keepNext/>
              <w:keepLines w:val="0"/>
              <w:pageBreakBefore w:val="0"/>
              <w:widowControl/>
              <w:spacing w:before="140" w:after="80" w:line="340" w:lineRule="exact"/>
              <w:ind w:firstLine="0" w:left="0" w:right="0"/>
              <w:jc w:val="both"/>
              <w:snapToGrid w:val="0"/>
            </w:pPr>
            <w:r>
              <w:rPr>
                <w:rFonts w:ascii="Times New Roman" w:hAnsi="Times New Roman" w:eastAsia="宋体"/>
                <w:b/>
                <w:sz w:val="21"/>
              </w:rPr>
              <w:t>3.4 多配置成本与摊销分析</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设 P 为待服务的 PEFT 配置数，Q 为任务数。LESS 为每种配置构建一次梯度数据存储，再对各任务排名；PCU-Select 将表征提取、标签构建和评分器训练集中在共享离线阶段，之后为每个配置—任务组合执行评分与选数。因此，累计选择成本可表示为：</w:t>
            </w:r>
          </w:p>
          <w:p>
            <w:pPr>
              <w:keepNext w:val="0"/>
              <w:keepLines/>
              <w:pageBreakBefore w:val="0"/>
              <w:widowControl/>
              <w:spacing w:before="80" w:after="120" w:line="288" w:lineRule="auto"/>
              <w:ind w:firstLine="0" w:left="0" w:right="0"/>
              <w:jc w:val="both"/>
              <w:tabs>
                <w:tab w:pos="4252" w:val="center"/>
                <w:tab w:pos="8617" w:val="right"/>
              </w:tabs>
              <w:snapToGrid w:val="0"/>
            </w:pPr>
            <w:r>
              <w:rPr>
                <w:rFonts w:ascii="Times New Roman" w:hAnsi="Times New Roman" w:eastAsia="宋体"/>
                <w:b w:val="0"/>
                <w:sz w:val="21"/>
              </w:rPr>
            </w:r>
            <w:r>
              <w:rPr>
                <w:rFonts w:ascii="Times New Roman" w:hAnsi="Times New Roman" w:eastAsia="宋体"/>
                <w:b w:val="0"/>
                <w:sz w:val="21"/>
              </w:rPr>
              <w:tab/>
            </w:r>
            <m:oMath>
              <m:eqArr>
                <m:e>
                  <m:sSub>
                    <m:e>
                      <m:r>
                        <m:rPr>
                          <m:sty m:val="i"/>
                        </m:rPr>
                        <w:rPr>
                          <w:rFonts w:ascii="Cambria Math" w:hAnsi="Cambria Math"/>
                          <w:sz w:val="21"/>
                        </w:rPr>
                        <m:t xml:space="preserve">C</m:t>
                      </m:r>
                    </m:e>
                    <m:sub>
                      <m:r>
                        <m:rPr>
                          <m:sty m:val="p"/>
                        </m:rPr>
                        <w:rPr>
                          <w:rFonts w:ascii="Cambria Math" w:hAnsi="Cambria Math"/>
                          <w:sz w:val="21"/>
                        </w:rPr>
                        <m:t xml:space="preserve">PCU</m:t>
                      </m:r>
                    </m:sub>
                  </m:sSub>
                  <m:r>
                    <m:rPr>
                      <m:sty m:val="i"/>
                    </m:rPr>
                    <w:rPr>
                      <w:rFonts w:ascii="Cambria Math" w:hAnsi="Cambria Math"/>
                      <w:sz w:val="21"/>
                    </w:rPr>
                    <m:t xml:space="preserve">(P,Q) = </m:t>
                  </m:r>
                  <m:sSub>
                    <m:e>
                      <m:r>
                        <m:rPr>
                          <m:sty m:val="i"/>
                        </m:rPr>
                        <w:rPr>
                          <w:rFonts w:ascii="Cambria Math" w:hAnsi="Cambria Math"/>
                          <w:sz w:val="21"/>
                        </w:rPr>
                        <m:t xml:space="preserve">C</m:t>
                      </m:r>
                    </m:e>
                    <m:sub>
                      <m:r>
                        <m:rPr>
                          <m:sty m:val="p"/>
                        </m:rPr>
                        <w:rPr>
                          <w:rFonts w:ascii="Cambria Math" w:hAnsi="Cambria Math"/>
                          <w:sz w:val="21"/>
                        </w:rPr>
                        <m:t xml:space="preserve">offline</m:t>
                      </m:r>
                    </m:sub>
                  </m:sSub>
                  <m:r>
                    <m:rPr>
                      <m:sty m:val="i"/>
                    </m:rPr>
                    <w:rPr>
                      <w:rFonts w:ascii="Cambria Math" w:hAnsi="Cambria Math"/>
                      <w:sz w:val="21"/>
                    </w:rPr>
                    <m:t xml:space="preserve"> + PQ </m:t>
                  </m:r>
                  <m:sSubSup>
                    <m:e>
                      <m:r>
                        <m:rPr>
                          <m:sty m:val="i"/>
                        </m:rPr>
                        <w:rPr>
                          <w:rFonts w:ascii="Cambria Math" w:hAnsi="Cambria Math"/>
                          <w:sz w:val="21"/>
                        </w:rPr>
                        <m:t xml:space="preserve">C</m:t>
                      </m:r>
                    </m:e>
                    <m:sub>
                      <m:r>
                        <m:rPr>
                          <m:sty m:val="p"/>
                        </m:rPr>
                        <w:rPr>
                          <w:rFonts w:ascii="Cambria Math" w:hAnsi="Cambria Math"/>
                          <w:sz w:val="21"/>
                        </w:rPr>
                        <m:t xml:space="preserve">PCU</m:t>
                      </m:r>
                    </m:sub>
                    <m:sup>
                      <m:r>
                        <m:rPr>
                          <m:sty m:val="p"/>
                        </m:rPr>
                        <w:rPr>
                          <w:rFonts w:ascii="Cambria Math" w:hAnsi="Cambria Math"/>
                          <w:sz w:val="21"/>
                        </w:rPr>
                        <m:t xml:space="preserve">pair</m:t>
                      </m:r>
                    </m:sup>
                  </m:sSubSup>
                </m:e>
                <m:e>
                  <m:sSub>
                    <m:e>
                      <m:r>
                        <m:rPr>
                          <m:sty m:val="i"/>
                        </m:rPr>
                        <w:rPr>
                          <w:rFonts w:ascii="Cambria Math" w:hAnsi="Cambria Math"/>
                          <w:sz w:val="21"/>
                        </w:rPr>
                        <m:t xml:space="preserve">C</m:t>
                      </m:r>
                    </m:e>
                    <m:sub>
                      <m:r>
                        <m:rPr>
                          <m:sty m:val="p"/>
                        </m:rPr>
                        <w:rPr>
                          <w:rFonts w:ascii="Cambria Math" w:hAnsi="Cambria Math"/>
                          <w:sz w:val="21"/>
                        </w:rPr>
                        <m:t xml:space="preserve">LESS</m:t>
                      </m:r>
                    </m:sub>
                  </m:sSub>
                  <m:r>
                    <m:rPr>
                      <m:sty m:val="i"/>
                    </m:rPr>
                    <w:rPr>
                      <w:rFonts w:ascii="Cambria Math" w:hAnsi="Cambria Math"/>
                      <w:sz w:val="21"/>
                    </w:rPr>
                    <m:t xml:space="preserve">(P,Q) = P </m:t>
                  </m:r>
                  <m:sSubSup>
                    <m:e>
                      <m:r>
                        <m:rPr>
                          <m:sty m:val="i"/>
                        </m:rPr>
                        <w:rPr>
                          <w:rFonts w:ascii="Cambria Math" w:hAnsi="Cambria Math"/>
                          <w:sz w:val="21"/>
                        </w:rPr>
                        <m:t xml:space="preserve">C</m:t>
                      </m:r>
                    </m:e>
                    <m:sub>
                      <m:r>
                        <m:rPr>
                          <m:sty m:val="p"/>
                        </m:rPr>
                        <w:rPr>
                          <w:rFonts w:ascii="Cambria Math" w:hAnsi="Cambria Math"/>
                          <w:sz w:val="21"/>
                        </w:rPr>
                        <m:t xml:space="preserve">LESS</m:t>
                      </m:r>
                    </m:sub>
                    <m:sup>
                      <m:r>
                        <m:rPr>
                          <m:sty m:val="p"/>
                        </m:rPr>
                        <w:rPr>
                          <w:rFonts w:ascii="Cambria Math" w:hAnsi="Cambria Math"/>
                          <w:sz w:val="21"/>
                        </w:rPr>
                        <m:t xml:space="preserve">data</m:t>
                      </m:r>
                    </m:sup>
                  </m:sSubSup>
                  <m:r>
                    <m:rPr>
                      <m:sty m:val="i"/>
                    </m:rPr>
                    <w:rPr>
                      <w:rFonts w:ascii="Cambria Math" w:hAnsi="Cambria Math"/>
                      <w:sz w:val="21"/>
                    </w:rPr>
                    <m:t xml:space="preserve"> + PQ </m:t>
                  </m:r>
                  <m:sSubSup>
                    <m:e>
                      <m:r>
                        <m:rPr>
                          <m:sty m:val="i"/>
                        </m:rPr>
                        <w:rPr>
                          <w:rFonts w:ascii="Cambria Math" w:hAnsi="Cambria Math"/>
                          <w:sz w:val="21"/>
                        </w:rPr>
                        <m:t xml:space="preserve">C</m:t>
                      </m:r>
                    </m:e>
                    <m:sub>
                      <m:r>
                        <m:rPr>
                          <m:sty m:val="p"/>
                        </m:rPr>
                        <w:rPr>
                          <w:rFonts w:ascii="Cambria Math" w:hAnsi="Cambria Math"/>
                          <w:sz w:val="21"/>
                        </w:rPr>
                        <m:t xml:space="preserve">LESS</m:t>
                      </m:r>
                    </m:sub>
                    <m:sup>
                      <m:r>
                        <m:rPr>
                          <m:sty m:val="p"/>
                        </m:rPr>
                        <w:rPr>
                          <w:rFonts w:ascii="Cambria Math" w:hAnsi="Cambria Math"/>
                          <w:sz w:val="21"/>
                        </w:rPr>
                        <m:t xml:space="preserve">rank</m:t>
                      </m:r>
                    </m:sup>
                  </m:sSubSup>
                </m:e>
              </m:eqArr>
            </m:oMath>
            <w:r>
              <w:rPr>
                <w:rFonts w:ascii="Times New Roman" w:hAnsi="Times New Roman" w:eastAsia="宋体"/>
                <w:b w:val="0"/>
                <w:sz w:val="21"/>
              </w:rPr>
              <w:tab/>
              <w:t>(6)</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其中，offline 为公共离线开销，pair 为一次目标组合的评分与选数成本，data 和 rank 分别表示 LESS 的建库与任务排名成本。固定 Q=4 且配置无须额外校准时，当前稿件给出 PCU-Select 成本为 144+1.51P，LESS 为 63.2P，单位均为 GPU 小时。图 2 按这些分项成本绘制累计曲线；交点满足：</w:t>
            </w:r>
          </w:p>
          <w:p>
            <w:pPr>
              <w:keepNext w:val="0"/>
              <w:keepLines/>
              <w:pageBreakBefore w:val="0"/>
              <w:widowControl/>
              <w:spacing w:before="80" w:after="120" w:line="288" w:lineRule="auto"/>
              <w:ind w:firstLine="0" w:left="0" w:right="0"/>
              <w:jc w:val="both"/>
              <w:tabs>
                <w:tab w:pos="4252" w:val="center"/>
                <w:tab w:pos="8617" w:val="right"/>
              </w:tabs>
              <w:snapToGrid w:val="0"/>
            </w:pPr>
            <w:r>
              <w:rPr>
                <w:rFonts w:ascii="Times New Roman" w:hAnsi="Times New Roman" w:eastAsia="宋体"/>
                <w:b w:val="0"/>
                <w:sz w:val="21"/>
              </w:rPr>
            </w:r>
            <w:r>
              <w:rPr>
                <w:rFonts w:ascii="Times New Roman" w:hAnsi="Times New Roman" w:eastAsia="宋体"/>
                <w:b w:val="0"/>
                <w:sz w:val="21"/>
              </w:rPr>
              <w:tab/>
            </w:r>
            <m:oMath>
              <m:sSup>
                <m:e>
                  <m:r>
                    <m:rPr>
                      <m:sty m:val="i"/>
                    </m:rPr>
                    <w:rPr>
                      <w:rFonts w:ascii="Cambria Math" w:hAnsi="Cambria Math"/>
                      <w:sz w:val="21"/>
                    </w:rPr>
                    <m:t xml:space="preserve">P</m:t>
                  </m:r>
                </m:e>
                <m:sup>
                  <m:r>
                    <m:rPr>
                      <m:sty m:val="i"/>
                    </m:rPr>
                    <w:rPr>
                      <w:rFonts w:ascii="Cambria Math" w:hAnsi="Cambria Math"/>
                      <w:sz w:val="21"/>
                    </w:rPr>
                    <m:t xml:space="preserve">*</m:t>
                  </m:r>
                </m:sup>
              </m:sSup>
              <m:r>
                <m:rPr>
                  <m:sty m:val="i"/>
                </m:rPr>
                <w:rPr>
                  <w:rFonts w:ascii="Cambria Math" w:hAnsi="Cambria Math"/>
                  <w:sz w:val="21"/>
                </w:rPr>
                <m:t xml:space="preserve"> = </m:t>
              </m:r>
              <m:f>
                <m:num>
                  <m:r>
                    <m:rPr>
                      <m:sty m:val="i"/>
                    </m:rPr>
                    <w:rPr>
                      <w:rFonts w:ascii="Cambria Math" w:hAnsi="Cambria Math"/>
                      <w:sz w:val="21"/>
                    </w:rPr>
                    <m:t xml:space="preserve">144</m:t>
                  </m:r>
                </m:num>
                <m:den>
                  <m:r>
                    <m:rPr>
                      <m:sty m:val="i"/>
                    </m:rPr>
                    <w:rPr>
                      <w:rFonts w:ascii="Cambria Math" w:hAnsi="Cambria Math"/>
                      <w:sz w:val="21"/>
                    </w:rPr>
                    <m:t xml:space="preserve">63.2 − 1.51</m:t>
                  </m:r>
                </m:den>
              </m:f>
              <m:r>
                <m:rPr>
                  <m:sty m:val="i"/>
                </m:rPr>
                <w:rPr>
                  <w:rFonts w:ascii="Cambria Math" w:hAnsi="Cambria Math"/>
                  <w:sz w:val="21"/>
                </w:rPr>
                <m:t xml:space="preserve"> ≈ 2.33</m:t>
              </m:r>
            </m:oMath>
            <w:r>
              <w:rPr>
                <w:rFonts w:ascii="Times New Roman" w:hAnsi="Times New Roman" w:eastAsia="宋体"/>
                <w:b w:val="0"/>
                <w:sz w:val="21"/>
              </w:rPr>
              <w:tab/>
              <w:t>(7)</w:t>
            </w:r>
          </w:p>
          <w:tbl>
            <w:tblPr>
              <w:tblW w:type="auto" w:w="0"/>
              <w:jc w:val="center"/>
              <w:tblLayout w:type="fixed"/>
              <w:tblLook w:firstColumn="1" w:firstRow="1" w:lastColumn="0" w:lastRow="0" w:noHBand="0" w:noVBand="1" w:val="04A0"/>
              <w:tblCellMar>
                <w:top w:w="30" w:type="dxa"/>
                <w:left w:w="0" w:type="dxa"/>
                <w:bottom w:w="30" w:type="dxa"/>
                <w:right w:w="0" w:type="dxa"/>
              </w:tblCellMar>
              <w:tblBorders>
                <w:top w:val="nil"/>
                <w:left w:val="nil"/>
                <w:bottom w:val="nil"/>
                <w:right w:val="nil"/>
                <w:insideH w:val="nil"/>
                <w:insideV w:val="nil"/>
              </w:tblBorders>
            </w:tblPr>
            <w:tblGrid>
              <w:gridCol w:w="8617"/>
            </w:tblGrid>
            <w:tr>
              <w:trPr>
                <w:cantSplit/>
              </w:trPr>
              <w:tc>
                <w:tcPr>
                  <w:tcW w:type="dxa" w:w="8617"/>
                </w:tcPr>
                <w:p>
                  <w:pPr>
                    <w:keepNext/>
                    <w:keepLines/>
                    <w:pageBreakBefore w:val="0"/>
                    <w:widowControl/>
                    <w:spacing w:before="0" w:after="60" w:line="240" w:lineRule="auto"/>
                    <w:ind w:firstLine="0" w:left="0" w:right="0"/>
                    <w:jc w:val="center"/>
                    <w:snapToGrid w:val="0"/>
                  </w:pPr>
                  <w:r>
                    <w:rPr>
                      <w:rFonts w:ascii="Times New Roman" w:hAnsi="Times New Roman" w:eastAsia="宋体"/>
                      <w:b w:val="0"/>
                      <w:sz w:val="21"/>
                    </w:rPr>
                  </w:r>
                  <w:r>
                    <w:drawing>
                      <wp:inline xmlns:a="http://schemas.openxmlformats.org/drawingml/2006/main" xmlns:pic="http://schemas.openxmlformats.org/drawingml/2006/picture">
                        <wp:extent cx="4212000" cy="3128367"/>
                        <wp:docPr id="3" name="Picture 3" descr="图 2  随 PEFT 配置数增加的累计选择成本（每配置四任务）"/>
                        <wp:cNvGraphicFramePr>
                          <a:graphicFrameLocks noChangeAspect="1"/>
                        </wp:cNvGraphicFramePr>
                        <a:graphic>
                          <a:graphicData uri="http://schemas.openxmlformats.org/drawingml/2006/picture">
                            <pic:pic>
                              <pic:nvPicPr>
                                <pic:cNvPr id="0" name="cost_curve.png"/>
                                <pic:cNvPicPr/>
                              </pic:nvPicPr>
                              <pic:blipFill>
                                <a:blip r:embed="rId10"/>
                                <a:stretch>
                                  <a:fillRect/>
                                </a:stretch>
                              </pic:blipFill>
                              <pic:spPr>
                                <a:xfrm>
                                  <a:off x="0" y="0"/>
                                  <a:ext cx="4212000" cy="3128367"/>
                                </a:xfrm>
                                <a:prstGeom prst="rect"/>
                              </pic:spPr>
                            </pic:pic>
                          </a:graphicData>
                        </a:graphic>
                      </wp:inline>
                    </w:drawing>
                  </w:r>
                </w:p>
                <w:p>
                  <w:pPr>
                    <w:keepNext w:val="0"/>
                    <w:keepLines w:val="0"/>
                    <w:pageBreakBefore w:val="0"/>
                    <w:widowControl/>
                    <w:spacing w:before="0" w:after="0" w:line="280" w:lineRule="exact"/>
                    <w:ind w:firstLine="0" w:left="0" w:right="0"/>
                    <w:jc w:val="center"/>
                    <w:snapToGrid w:val="0"/>
                  </w:pPr>
                  <w:r>
                    <w:rPr>
                      <w:rFonts w:ascii="Times New Roman" w:hAnsi="Times New Roman" w:eastAsia="宋体"/>
                      <w:b w:val="0"/>
                      <w:sz w:val="19"/>
                    </w:rPr>
                    <w:t>图 2  随 PEFT 配置数增加的累计选择成本（每配置四任务）</w:t>
                  </w:r>
                </w:p>
              </w:tc>
            </w:tr>
          </w:tbl>
          <w:p>
            <w:pPr>
              <w:keepNext w:val="0"/>
              <w:keepLines w:val="0"/>
              <w:pageBreakBefore w:val="0"/>
              <w:widowControl/>
              <w:spacing w:before="0" w:after="0" w:line="40" w:lineRule="exact"/>
              <w:ind w:firstLine="0" w:left="0" w:right="0"/>
              <w:jc w:val="both"/>
              <w:snapToGrid w:val="0"/>
            </w:pPr>
            <w:r>
              <w:rPr>
                <w:rFonts w:ascii="Times New Roman" w:hAnsi="Times New Roman" w:eastAsia="宋体"/>
                <w:b w:val="0"/>
                <w:sz w:val="2"/>
              </w:rPr>
            </w:r>
          </w:p>
          <w:p>
            <w:pPr>
              <w:keepNext w:val="0"/>
              <w:keepLines w:val="0"/>
              <w:pageBreakBefore w:val="0"/>
              <w:widowControl/>
              <w:spacing w:before="0" w:after="100" w:line="280" w:lineRule="exact"/>
              <w:ind w:firstLine="0" w:left="0" w:right="0"/>
              <w:jc w:val="both"/>
              <w:snapToGrid w:val="0"/>
            </w:pPr>
            <w:r>
              <w:rPr>
                <w:rFonts w:ascii="Times New Roman" w:hAnsi="Times New Roman" w:eastAsia="宋体"/>
                <w:b w:val="0"/>
                <w:sz w:val="18"/>
              </w:rPr>
              <w:t>注：图据论文分项成本计算。包含一次性离线开销，排除共同的下游训练；横轴为配置数，图中 T*=2.3 是 P*≈2.33 的舍入显示。</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因此，从第三个完整配置开始体现摊销收益。五配置的累计选择成本约为 151.6 和 316.0 GPU 小时，成本比约为 2.09；63.2/1.51≈42 仅表示新增四任务配置的边际选择成本比。新增任务与新增配置的成本结构不同，不能将上述比值解释为端到端训练加速。需要额外校准的目标还应计入校准标签成本。</w:t>
            </w:r>
          </w:p>
          <w:p>
            <w:pPr>
              <w:keepNext/>
              <w:keepLines w:val="0"/>
              <w:pageBreakBefore w:val="0"/>
              <w:widowControl/>
              <w:spacing w:before="180" w:after="100" w:line="360" w:lineRule="exact"/>
              <w:ind w:firstLine="0" w:left="0" w:right="0"/>
              <w:jc w:val="both"/>
              <w:snapToGrid w:val="0"/>
            </w:pPr>
            <w:r>
              <w:rPr>
                <w:rFonts w:ascii="Times New Roman" w:hAnsi="Times New Roman" w:eastAsia="宋体"/>
                <w:b/>
                <w:sz w:val="21"/>
              </w:rPr>
              <w:t>4 总结</w:t>
            </w:r>
          </w:p>
          <w:p>
            <w:pPr>
              <w:keepNext/>
              <w:keepLines w:val="0"/>
              <w:pageBreakBefore w:val="0"/>
              <w:widowControl/>
              <w:spacing w:before="140" w:after="80" w:line="340" w:lineRule="exact"/>
              <w:ind w:firstLine="0" w:left="0" w:right="0"/>
              <w:jc w:val="both"/>
              <w:snapToGrid w:val="0"/>
            </w:pPr>
            <w:r>
              <w:rPr>
                <w:rFonts w:ascii="Times New Roman" w:hAnsi="Times New Roman" w:eastAsia="宋体"/>
                <w:b/>
                <w:sz w:val="21"/>
              </w:rPr>
              <w:t>4.1 研究总结与不足</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本文围绕多配置数据选择中的目标针对性与重复计算问题，构建了共享位点、多保真监督和条件评分相结合的 PCU-Select 方法，并通过聚类配额兼顾样本效用与语义覆盖。论文已形成方法与实验分析框架，实验结果按任务、配置和训练种子汇总。方法的复用范围受骨干、表征及配置兼容性约束：接近已见结构的配置可直接评分；较大结构偏移需要兼容标签进行校准，否则采用逐目标选择方法。后续将重点复核任务差异、预算敏感性及额外校准成本，明确质量与成本结论的适用条件。</w:t>
            </w:r>
          </w:p>
          <w:p>
            <w:pPr>
              <w:keepNext/>
              <w:keepLines w:val="0"/>
              <w:pageBreakBefore w:val="0"/>
              <w:widowControl/>
              <w:spacing w:before="140" w:after="80" w:line="340" w:lineRule="exact"/>
              <w:ind w:firstLine="0" w:left="0" w:right="0"/>
              <w:jc w:val="both"/>
              <w:snapToGrid w:val="0"/>
            </w:pPr>
            <w:r>
              <w:rPr>
                <w:rFonts w:ascii="Times New Roman" w:hAnsi="Times New Roman" w:eastAsia="宋体"/>
                <w:b/>
                <w:sz w:val="21"/>
              </w:rPr>
              <w:t>4.2 后续研究计划</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第二项工作拟研究“基于 PCU-Select 的多配置数据选择与微调实验管理系统”，复用现有评分器、特征缓存、PEFT 编码和选数算法，研究两项工程机制。分层缓存与增量复用以内容摘要、模型与评分器版本、预处理、种子、候选顺序和校验值描述依赖，输入变化时仅重算受影响产物。预算变化复用评分与聚类；仅训练种子变化复用子集；候选追加仅补算兼容特征与逐样本评分，但重新计算完整池聚类及配额。</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公共计算去重与阶段恢复将实验拆为依赖节点，相同输入只执行一次，并通过原子写入、完成标记和独立目录保证产物隔离，支持中断后的阶段级恢复。首版固定评分器版本，采用单工作节点、任务队列、元数据索引和本地产物库，并提供简洁控制台，支持提交实验矩阵、查看复用计划及导出报告。以两种配置、两个任务、三个预算、两个训练种子构成的 24 次训练为例，计划共享四份评分和一份聚类，生成十二份子集。验证将比较现有脚本、依赖缓存和完整系统，先检查复用与全量重算的一致性，再测量计算量、时间、存储及恢复开销，不将公共节点减少量直接解释为训练加速。</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后续八周按下表推进系统实现与验证，同时完善工作一的实验记录、独立重复结果和学位论文相关章节。</w:t>
            </w:r>
          </w:p>
          <w:p>
            <w:pPr>
              <w:keepNext/>
              <w:keepLines w:val="0"/>
              <w:pageBreakBefore w:val="0"/>
              <w:widowControl/>
              <w:spacing w:before="80" w:after="80" w:line="320" w:lineRule="exact"/>
              <w:ind w:firstLine="0" w:left="0" w:right="0"/>
              <w:jc w:val="center"/>
              <w:snapToGrid w:val="0"/>
            </w:pPr>
            <w:r>
              <w:rPr>
                <w:rFonts w:ascii="Times New Roman" w:hAnsi="Times New Roman" w:eastAsia="宋体"/>
                <w:b/>
                <w:sz w:val="21"/>
              </w:rPr>
              <w:t>表 3  后续八周研究计划（2026 年）</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474"/>
              <w:gridCol w:w="3742"/>
              <w:gridCol w:w="3402"/>
            </w:tblGrid>
            <w:tr>
              <w:trPr>
                <w:tblHeader/>
                <w:cantSplit/>
              </w:trPr>
              <w:tc>
                <w:tcPr>
                  <w:tcW w:type="dxa" w:w="1474"/>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时间</w:t>
                  </w:r>
                </w:p>
              </w:tc>
              <w:tc>
                <w:tcPr>
                  <w:tcW w:type="dxa" w:w="3742"/>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主要研究内容</w:t>
                  </w:r>
                </w:p>
              </w:tc>
              <w:tc>
                <w:tcPr>
                  <w:tcW w:type="dxa" w:w="3402"/>
                  <w:shd w:fill="F2F2F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sz w:val="20"/>
                    </w:rPr>
                    <w:t>阶段产出</w:t>
                  </w:r>
                </w:p>
              </w:tc>
            </w:tr>
            <w:tr>
              <w:trPr>
                <w:cantSplit/>
              </w:trPr>
              <w:tc>
                <w:tcPr>
                  <w:tcW w:type="dxa" w:w="147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9.14—9.27</w:t>
                  </w:r>
                </w:p>
              </w:tc>
              <w:tc>
                <w:tcPr>
                  <w:tcW w:type="dxa" w:w="3742"/>
                  <w:vAlign w:val="center"/>
                </w:tcPr>
                <w:p>
                  <w:pPr>
                    <w:keepNext w:val="0"/>
                    <w:keepLines w:val="0"/>
                    <w:pageBreakBefore w:val="0"/>
                    <w:widowControl/>
                    <w:spacing w:before="0" w:after="0" w:line="300" w:lineRule="exact"/>
                    <w:ind w:firstLine="0" w:left="0" w:right="0"/>
                    <w:jc w:val="left"/>
                    <w:snapToGrid w:val="0"/>
                  </w:pPr>
                  <w:r>
                    <w:rPr>
                      <w:rFonts w:ascii="Times New Roman" w:hAnsi="Times New Roman" w:eastAsia="宋体"/>
                      <w:b w:val="0"/>
                      <w:sz w:val="20"/>
                    </w:rPr>
                    <w:t>统一算法接口，设计产物依赖与元数据，复核论文实验记录。</w:t>
                  </w:r>
                </w:p>
              </w:tc>
              <w:tc>
                <w:tcPr>
                  <w:tcW w:type="dxa" w:w="340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依赖规范、最小执行流程及结果核验清单。</w:t>
                  </w:r>
                </w:p>
              </w:tc>
            </w:tr>
            <w:tr>
              <w:trPr>
                <w:cantSplit/>
              </w:trPr>
              <w:tc>
                <w:tcPr>
                  <w:tcW w:type="dxa" w:w="147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9.28—10.11</w:t>
                  </w:r>
                </w:p>
              </w:tc>
              <w:tc>
                <w:tcPr>
                  <w:tcW w:type="dxa" w:w="3742"/>
                  <w:vAlign w:val="center"/>
                </w:tcPr>
                <w:p>
                  <w:pPr>
                    <w:keepNext w:val="0"/>
                    <w:keepLines w:val="0"/>
                    <w:pageBreakBefore w:val="0"/>
                    <w:widowControl/>
                    <w:spacing w:before="0" w:after="0" w:line="300" w:lineRule="exact"/>
                    <w:ind w:firstLine="0" w:left="0" w:right="0"/>
                    <w:jc w:val="left"/>
                    <w:snapToGrid w:val="0"/>
                  </w:pPr>
                  <w:r>
                    <w:rPr>
                      <w:rFonts w:ascii="Times New Roman" w:hAnsi="Times New Roman" w:eastAsia="宋体"/>
                      <w:b w:val="0"/>
                      <w:sz w:val="20"/>
                    </w:rPr>
                    <w:t>实现缓存与增量计算，检查预算、种子及样本变化规则。</w:t>
                  </w:r>
                </w:p>
              </w:tc>
              <w:tc>
                <w:tcPr>
                  <w:tcW w:type="dxa" w:w="340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缓存原型及与全量重算一致性记录。</w:t>
                  </w:r>
                </w:p>
              </w:tc>
            </w:tr>
            <w:tr>
              <w:trPr>
                <w:cantSplit/>
              </w:trPr>
              <w:tc>
                <w:tcPr>
                  <w:tcW w:type="dxa" w:w="147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10.12—10.25</w:t>
                  </w:r>
                </w:p>
              </w:tc>
              <w:tc>
                <w:tcPr>
                  <w:tcW w:type="dxa" w:w="3742"/>
                  <w:vAlign w:val="center"/>
                </w:tcPr>
                <w:p>
                  <w:pPr>
                    <w:keepNext w:val="0"/>
                    <w:keepLines w:val="0"/>
                    <w:pageBreakBefore w:val="0"/>
                    <w:widowControl/>
                    <w:spacing w:before="0" w:after="0" w:line="300" w:lineRule="exact"/>
                    <w:ind w:firstLine="0" w:left="0" w:right="0"/>
                    <w:jc w:val="left"/>
                    <w:snapToGrid w:val="0"/>
                  </w:pPr>
                  <w:r>
                    <w:rPr>
                      <w:rFonts w:ascii="Times New Roman" w:hAnsi="Times New Roman" w:eastAsia="宋体"/>
                      <w:b w:val="0"/>
                      <w:sz w:val="20"/>
                    </w:rPr>
                    <w:t>实现公共节点去重、队列、阶段恢复及控制台。</w:t>
                  </w:r>
                </w:p>
              </w:tc>
              <w:tc>
                <w:tcPr>
                  <w:tcW w:type="dxa" w:w="3402"/>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可运行系统及隔离、恢复验证记录。</w:t>
                  </w:r>
                </w:p>
              </w:tc>
            </w:tr>
            <w:tr>
              <w:trPr>
                <w:cantSplit/>
              </w:trPr>
              <w:tc>
                <w:tcPr>
                  <w:tcW w:type="dxa" w:w="1474"/>
                  <w:vAlign w:val="center"/>
                </w:tcPr>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0"/>
                    </w:rPr>
                    <w:t>10.26—11.8</w:t>
                  </w:r>
                </w:p>
              </w:tc>
              <w:tc>
                <w:tcPr>
                  <w:tcW w:type="dxa" w:w="3742"/>
                  <w:vAlign w:val="center"/>
                </w:tcPr>
                <w:p>
                  <w:pPr>
                    <w:keepNext w:val="0"/>
                    <w:keepLines w:val="0"/>
                    <w:pageBreakBefore w:val="0"/>
                    <w:widowControl/>
                    <w:spacing w:before="0" w:after="0" w:line="300" w:lineRule="exact"/>
                    <w:ind w:firstLine="0" w:left="0" w:right="0"/>
                    <w:jc w:val="left"/>
                    <w:snapToGrid w:val="0"/>
                  </w:pPr>
                  <w:r>
                    <w:rPr>
                      <w:rFonts w:ascii="Times New Roman" w:hAnsi="Times New Roman" w:eastAsia="宋体"/>
                      <w:b w:val="0"/>
                      <w:sz w:val="20"/>
                    </w:rPr>
                    <w:t>开展三组对比，分析时间与存储开销，补充论文实验。</w:t>
                  </w:r>
                </w:p>
              </w:tc>
              <w:tc>
                <w:tcPr>
                  <w:tcW w:type="dxa" w:w="3402"/>
                  <w:vAlign w:val="center"/>
                </w:tcPr>
                <w:p>
                  <w:pPr>
                    <w:keepNext w:val="0"/>
                    <w:keepLines w:val="0"/>
                    <w:pageBreakBefore w:val="0"/>
                    <w:widowControl/>
                    <w:spacing w:before="0" w:after="0" w:line="300" w:lineRule="exact"/>
                    <w:ind w:firstLine="0" w:left="0" w:right="0"/>
                    <w:jc w:val="left"/>
                    <w:snapToGrid w:val="0"/>
                  </w:pPr>
                  <w:r>
                    <w:rPr>
                      <w:rFonts w:ascii="Times New Roman" w:hAnsi="Times New Roman" w:eastAsia="宋体"/>
                      <w:b w:val="0"/>
                      <w:sz w:val="20"/>
                    </w:rPr>
                    <w:t>机制验证报告、系统说明及学位论文相关章节。</w:t>
                  </w:r>
                </w:p>
              </w:tc>
            </w:tr>
          </w:tbl>
          <w:p>
            <w:pPr>
              <w:keepNext w:val="0"/>
              <w:keepLines w:val="0"/>
              <w:pageBreakBefore w:val="0"/>
              <w:widowControl/>
              <w:spacing w:before="0" w:after="0" w:line="40" w:lineRule="exact"/>
              <w:ind w:firstLine="0" w:left="0" w:right="0"/>
              <w:jc w:val="both"/>
              <w:snapToGrid w:val="0"/>
            </w:pPr>
            <w:r>
              <w:rPr>
                <w:rFonts w:ascii="Times New Roman" w:hAnsi="Times New Roman" w:eastAsia="宋体"/>
                <w:b w:val="0"/>
                <w:sz w:val="2"/>
              </w:rPr>
            </w:r>
          </w:p>
          <w:p>
            <w:pPr>
              <w:keepNext w:val="0"/>
              <w:keepLines w:val="0"/>
              <w:pageBreakBefore w:val="0"/>
              <w:widowControl/>
              <w:spacing w:before="0" w:after="60" w:line="280" w:lineRule="exact"/>
              <w:ind w:firstLine="0" w:left="0" w:right="0"/>
              <w:jc w:val="both"/>
              <w:snapToGrid w:val="0"/>
            </w:pPr>
            <w:r>
              <w:rPr>
                <w:rFonts w:ascii="Times New Roman" w:hAnsi="Times New Roman" w:eastAsia="宋体"/>
                <w:b w:val="0"/>
                <w:sz w:val="18"/>
              </w:rPr>
              <w:t>各阶段以可运行产物和可核验记录为依据，根据实验资源及导师指导调整。</w:t>
            </w:r>
          </w:p>
        </w:tc>
      </w:tr>
      <w:tr>
        <w:trPr>
          <w:jc w:val="center"/>
          <w:cantSplit w:val="0"/>
        </w:trPr>
        <w:tc>
          <w:tcPr>
            <w:tcW w:w="9072" w:type="dxa"/>
            <w:gridSpan w:val="2"/>
            <w:vAlign w:val="top"/>
          </w:tcPr>
          <w:p>
            <w:pPr>
              <w:keepNext w:val="0"/>
              <w:keepLines w:val="0"/>
              <w:pageBreakBefore w:val="0"/>
              <w:widowControl/>
              <w:spacing w:before="0" w:after="80" w:line="340" w:lineRule="exact"/>
              <w:ind w:firstLine="0" w:left="0" w:right="0"/>
              <w:jc w:val="both"/>
              <w:snapToGrid w:val="0"/>
            </w:pPr>
            <w:r>
              <w:rPr>
                <w:rFonts w:ascii="Times New Roman" w:hAnsi="Times New Roman" w:eastAsia="宋体"/>
                <w:b/>
                <w:sz w:val="21"/>
              </w:rPr>
              <w:t>与课题相关的学术成果情况：</w:t>
            </w:r>
          </w:p>
          <w:p>
            <w:pPr>
              <w:keepNext w:val="0"/>
              <w:keepLines w:val="0"/>
              <w:pageBreakBefore w:val="0"/>
              <w:widowControl/>
              <w:spacing w:before="0" w:after="60" w:line="320" w:lineRule="exact"/>
              <w:ind w:firstLine="420" w:left="0" w:right="0"/>
              <w:jc w:val="both"/>
              <w:snapToGrid w:val="0"/>
            </w:pPr>
            <w:r>
              <w:rPr>
                <w:rFonts w:ascii="Times New Roman" w:hAnsi="Times New Roman" w:eastAsia="宋体"/>
                <w:b w:val="0"/>
                <w:sz w:val="21"/>
              </w:rPr>
              <w:t>已形成英文论文稿《PCU-Select: Amortizing Target-Specific Data Selection Across PEFT Configurations》，完成方法框架和现阶段实验结果的组织，正在完善原始实验记录核验及论文论证。已形成配套特征提取、PEFT 配置注册、条件评分、聚类配额选数及训练评测脚本基础，为后续系统研究提供可复用模块。</w:t>
            </w:r>
          </w:p>
        </w:tc>
      </w:tr>
    </w:tbl>
    <w:p>
      <w:pPr>
        <w:keepNext/>
        <w:keepLines w:val="0"/>
        <w:pageBreakBefore w:val="0"/>
        <w:widowControl/>
        <w:snapToGrid w:val="0"/>
        <w:spacing w:before="0" w:beforeLines="100" w:after="180" w:afterLines="30" w:line="400" w:lineRule="exact"/>
        <w:ind w:firstLine="0" w:left="0" w:right="0"/>
        <w:jc w:val="both"/>
        <w:snapToGrid w:val="0"/>
      </w:pPr>
      <w:r>
        <w:rPr>
          <w:rFonts w:ascii="Times New Roman" w:hAnsi="Times New Roman" w:eastAsia="仿宋_GB2312"/>
          <w:b/>
          <w:sz w:val="24"/>
        </w:rPr>
        <w:t>二、中期考核作者承诺及导师意见</w:t>
      </w:r>
    </w:p>
    <w:tbl>
      <w:tblPr>
        <w:tblStyle w:val="6"/>
        <w:tblW w:w="0" w:type="auto"/>
        <w:jc w:val="center"/>
        <w:tblLayout w:type="fixed"/>
        <w:tblCellMar>
          <w:top w:w="150" w:type="dxa"/>
          <w:left w:w="140" w:type="dxa"/>
          <w:bottom w:w="130" w:type="dxa"/>
          <w:right w:w="14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89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atLeast"/>
          <w:jc w:val="center"/>
          <w:cantSplit/>
        </w:trPr>
        <w:tc>
          <w:tcPr>
            <w:tcW w:w="8946" w:type="dxa"/>
          </w:tcPr>
          <w:p>
            <w:pPr>
              <w:keepNext w:val="0"/>
              <w:keepLines w:val="0"/>
              <w:pageBreakBefore w:val="0"/>
              <w:widowControl/>
              <w:spacing w:before="0" w:after="560" w:line="460" w:lineRule="exact"/>
              <w:ind w:firstLine="420" w:left="0" w:right="0"/>
              <w:jc w:val="both"/>
              <w:snapToGrid w:val="0"/>
            </w:pPr>
            <w:r>
              <w:rPr>
                <w:rFonts w:ascii="Times New Roman" w:hAnsi="Times New Roman" w:eastAsia="宋体"/>
                <w:b w:val="0"/>
                <w:sz w:val="24"/>
              </w:rPr>
              <w:t>我保证上述填报内容的真实性，并将在导师指导下，严格遵守学校的有关规定，按计划认真开展学位（毕业）论文研究工作。</w:t>
            </w:r>
          </w:p>
          <w:p>
            <w:pPr>
              <w:keepNext w:val="0"/>
              <w:keepLines w:val="0"/>
              <w:pageBreakBefore w:val="0"/>
              <w:widowControl/>
              <w:spacing w:before="0" w:after="300" w:line="460" w:lineRule="exact"/>
              <w:ind w:firstLine="0" w:left="0" w:right="0"/>
              <w:jc w:val="right"/>
              <w:snapToGrid w:val="0"/>
            </w:pPr>
            <w:r>
              <w:rPr>
                <w:rFonts w:ascii="Times New Roman" w:hAnsi="Times New Roman" w:eastAsia="宋体"/>
                <w:b w:val="0"/>
                <w:sz w:val="24"/>
              </w:rPr>
              <w:t>研究生签名：________________</w:t>
            </w:r>
          </w:p>
          <w:p>
            <w:pPr>
              <w:keepNext w:val="0"/>
              <w:keepLines w:val="0"/>
              <w:pageBreakBefore w:val="0"/>
              <w:widowControl/>
              <w:spacing w:before="0" w:after="0" w:line="460" w:lineRule="exact"/>
              <w:ind w:firstLine="0" w:left="0" w:right="0"/>
              <w:jc w:val="right"/>
              <w:snapToGrid w:val="0"/>
            </w:pPr>
            <w:r>
              <w:rPr>
                <w:rFonts w:ascii="Times New Roman" w:hAnsi="Times New Roman" w:eastAsia="宋体"/>
                <w:b w:val="0"/>
                <w:sz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atLeast"/>
          <w:jc w:val="center"/>
          <w:cantSplit/>
        </w:trPr>
        <w:tc>
          <w:tcPr>
            <w:tcW w:w="8946" w:type="dxa"/>
          </w:tcPr>
          <w:p>
            <w:pPr>
              <w:keepNext w:val="0"/>
              <w:keepLines w:val="0"/>
              <w:pageBreakBefore w:val="0"/>
              <w:widowControl/>
              <w:spacing w:before="0" w:after="560" w:line="460" w:lineRule="exact"/>
              <w:ind w:firstLine="420" w:left="0" w:right="0"/>
              <w:jc w:val="both"/>
              <w:snapToGrid w:val="0"/>
            </w:pPr>
            <w:r>
              <w:rPr>
                <w:rFonts w:ascii="Times New Roman" w:hAnsi="Times New Roman" w:eastAsia="宋体"/>
                <w:b w:val="0"/>
                <w:sz w:val="24"/>
              </w:rPr>
              <w:t>我已审阅过中期考核的全部内容，同意研究生参加中期考核。</w:t>
            </w:r>
          </w:p>
          <w:p>
            <w:pPr>
              <w:keepNext w:val="0"/>
              <w:keepLines w:val="0"/>
              <w:pageBreakBefore w:val="0"/>
              <w:widowControl/>
              <w:spacing w:before="0" w:after="300" w:line="460" w:lineRule="exact"/>
              <w:ind w:firstLine="0" w:left="0" w:right="0"/>
              <w:jc w:val="right"/>
              <w:snapToGrid w:val="0"/>
            </w:pPr>
            <w:r>
              <w:rPr>
                <w:rFonts w:ascii="Times New Roman" w:hAnsi="Times New Roman" w:eastAsia="宋体"/>
                <w:b w:val="0"/>
                <w:sz w:val="24"/>
              </w:rPr>
              <w:t>指导教师签名：________________</w:t>
            </w:r>
          </w:p>
          <w:p>
            <w:pPr>
              <w:keepNext w:val="0"/>
              <w:keepLines w:val="0"/>
              <w:pageBreakBefore w:val="0"/>
              <w:widowControl/>
              <w:spacing w:before="0" w:after="0" w:line="460" w:lineRule="exact"/>
              <w:ind w:firstLine="0" w:left="0" w:right="0"/>
              <w:jc w:val="right"/>
              <w:snapToGrid w:val="0"/>
            </w:pPr>
            <w:r>
              <w:rPr>
                <w:rFonts w:ascii="Times New Roman" w:hAnsi="Times New Roman" w:eastAsia="宋体"/>
                <w:b w:val="0"/>
                <w:sz w:val="24"/>
              </w:rPr>
              <w:t>年    月    日</w:t>
            </w:r>
          </w:p>
        </w:tc>
      </w:tr>
    </w:tbl>
    <w:p>
      <w:pPr>
        <w:keepNext/>
        <w:keepLines w:val="0"/>
        <w:pageBreakBefore/>
        <w:widowControl/>
        <w:snapToGrid w:val="0"/>
        <w:spacing w:before="0" w:beforeLines="100" w:after="180" w:afterLines="30" w:line="400" w:lineRule="exact"/>
        <w:ind w:firstLine="0" w:left="0" w:right="0"/>
        <w:jc w:val="both"/>
        <w:snapToGrid w:val="0"/>
      </w:pPr>
      <w:r>
        <w:rPr>
          <w:rFonts w:ascii="Times New Roman" w:hAnsi="Times New Roman" w:eastAsia="仿宋_GB2312"/>
          <w:b/>
          <w:sz w:val="24"/>
        </w:rPr>
        <w:t>三、中期考核审核意见</w:t>
      </w:r>
    </w:p>
    <w:tbl>
      <w:tblPr>
        <w:tblStyle w:val="5"/>
        <w:tblW w:w="9228" w:type="dxa"/>
        <w:jc w:val="center"/>
        <w:tblLayout w:type="fixed"/>
        <w:tblCellMar>
          <w:top w:w="50" w:type="dxa"/>
          <w:left w:w="90" w:type="dxa"/>
          <w:bottom w:w="50" w:type="dxa"/>
          <w:right w:w="9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41"/>
        <w:gridCol w:w="567"/>
        <w:gridCol w:w="1701"/>
        <w:gridCol w:w="2299"/>
        <w:gridCol w:w="3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cantSplit/>
        </w:trPr>
        <w:tc>
          <w:tcPr>
            <w:tcW w:w="9228" w:type="dxa"/>
            <w:gridSpan w:val="5"/>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中期考核小组成员名单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组成人员</w:t>
            </w:r>
          </w:p>
        </w:tc>
        <w:tc>
          <w:tcPr>
            <w:tcW w:w="1701" w:type="dxa"/>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姓  名</w:t>
            </w:r>
          </w:p>
        </w:tc>
        <w:tc>
          <w:tcPr>
            <w:tcW w:w="2299" w:type="dxa"/>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职  称</w:t>
            </w:r>
          </w:p>
        </w:tc>
        <w:tc>
          <w:tcPr>
            <w:tcW w:w="3620" w:type="dxa"/>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组长</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cantSplit/>
        </w:trPr>
        <w:tc>
          <w:tcPr>
            <w:tcW w:w="1608" w:type="dxa"/>
            <w:gridSpan w:val="2"/>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成员</w:t>
            </w:r>
          </w:p>
        </w:tc>
        <w:tc>
          <w:tcPr>
            <w:tcW w:w="1701"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2299"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3620" w:type="dxa"/>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jc w:val="center"/>
          <w:cantSplit/>
        </w:trPr>
        <w:tc>
          <w:tcPr>
            <w:tcW w:w="1041" w:type="dxa"/>
            <w:vMerge w:val="restart"/>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审</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核</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意</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见</w:t>
            </w:r>
          </w:p>
        </w:tc>
        <w:tc>
          <w:tcPr>
            <w:tcW w:w="8187" w:type="dxa"/>
            <w:gridSpan w:val="4"/>
            <w:tcBorders>
              <w:bottom w:val="nil"/>
            </w:tcBorders>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8"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top"/>
          </w:tcPr>
          <w:p>
            <w:pPr>
              <w:keepNext w:val="0"/>
              <w:keepLines w:val="0"/>
              <w:pageBreakBefore w:val="0"/>
              <w:widowControl/>
              <w:spacing w:before="0" w:after="0" w:line="360" w:lineRule="exact"/>
              <w:ind w:firstLine="0" w:left="0" w:right="0"/>
              <w:jc w:val="left"/>
              <w:snapToGrid w:val="0"/>
            </w:pPr>
            <w:r>
              <w:rPr>
                <w:rFonts w:ascii="Times New Roman" w:hAnsi="Times New Roman" w:eastAsia="宋体"/>
                <w:b w:val="0"/>
                <w:sz w:val="21"/>
              </w:rPr>
              <w:t>具体意见：</w:t>
            </w:r>
          </w:p>
          <w:p>
            <w:pPr>
              <w:keepNext w:val="0"/>
              <w:keepLines w:val="0"/>
              <w:pageBreakBefore w:val="0"/>
              <w:widowControl/>
              <w:spacing w:before="1480" w:after="0" w:line="360" w:lineRule="exact"/>
              <w:ind w:firstLine="0" w:left="0" w:right="0"/>
              <w:jc w:val="left"/>
              <w:snapToGrid w:val="0"/>
            </w:pPr>
            <w:r>
              <w:rPr>
                <w:rFonts w:ascii="Times New Roman" w:hAnsi="Times New Roman" w:eastAsia="宋体"/>
                <w:b w:val="0"/>
                <w:sz w:val="21"/>
              </w:rPr>
              <w:t>审核结果：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 通过         □ 暂缓通过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center"/>
          </w:tcPr>
          <w:p>
            <w:pPr>
              <w:keepNext w:val="0"/>
              <w:keepLines w:val="0"/>
              <w:pageBreakBefore w:val="0"/>
              <w:widowControl/>
              <w:spacing w:before="0" w:after="0" w:line="340" w:lineRule="exact"/>
              <w:ind w:firstLine="0" w:left="0" w:right="0"/>
              <w:jc w:val="left"/>
              <w:snapToGrid w:val="0"/>
            </w:pPr>
            <w:r>
              <w:rPr>
                <w:rFonts w:ascii="Times New Roman" w:hAnsi="Times New Roman" w:eastAsia="宋体"/>
                <w:b w:val="0"/>
                <w:sz w:val="21"/>
              </w:rPr>
              <w:t>组长签名：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center"/>
          </w:tcPr>
          <w:p>
            <w:pPr>
              <w:keepNext w:val="0"/>
              <w:keepLines w:val="0"/>
              <w:pageBreakBefore w:val="0"/>
              <w:widowControl/>
              <w:spacing w:before="0" w:after="0" w:line="340" w:lineRule="exact"/>
              <w:ind w:firstLine="0" w:left="0" w:right="0"/>
              <w:jc w:val="left"/>
              <w:snapToGrid w:val="0"/>
            </w:pPr>
            <w:r>
              <w:rPr>
                <w:rFonts w:ascii="Times New Roman" w:hAnsi="Times New Roman" w:eastAsia="宋体"/>
                <w:b w:val="0"/>
                <w:sz w:val="21"/>
              </w:rPr>
              <w:t>成员签名：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single" w:color="auto" w:sz="4" w:space="0"/>
            </w:tcBorders>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 w:hRule="atLeast"/>
          <w:jc w:val="center"/>
          <w:cantSplit/>
        </w:trPr>
        <w:tc>
          <w:tcPr>
            <w:tcW w:w="1041" w:type="dxa"/>
            <w:vMerge w:val="restart"/>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院</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（系）</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意</w:t>
            </w:r>
          </w:p>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见</w:t>
            </w:r>
          </w:p>
        </w:tc>
        <w:tc>
          <w:tcPr>
            <w:tcW w:w="8187" w:type="dxa"/>
            <w:gridSpan w:val="4"/>
            <w:tcBorders>
              <w:top w:val="single" w:color="auto" w:sz="4" w:space="0"/>
              <w:bottom w:val="nil"/>
            </w:tcBorders>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bottom w:val="nil"/>
            </w:tcBorders>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主管领导签名：                         院（系）公章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cantSplit/>
        </w:trPr>
        <w:tc>
          <w:tcPr>
            <w:tcW w:w="1041" w:type="dxa"/>
            <w:vMerge w:val="continue"/>
            <w:vAlign w:val="center"/>
          </w:tcPr>
          <w:p>
            <w:pPr>
              <w:keepNext w:val="0"/>
              <w:keepLines w:val="0"/>
              <w:pageBreakBefore w:val="0"/>
              <w:widowControl/>
              <w:spacing w:before="0" w:after="0" w:line="240" w:lineRule="exact"/>
              <w:ind w:firstLine="0" w:left="0" w:right="0"/>
              <w:jc w:val="both"/>
              <w:snapToGrid w:val="0"/>
            </w:pPr>
            <w:r>
              <w:rPr>
                <w:rFonts w:ascii="Times New Roman" w:hAnsi="Times New Roman" w:eastAsia="宋体"/>
                <w:b w:val="0"/>
                <w:sz w:val="21"/>
              </w:rPr>
            </w:r>
          </w:p>
        </w:tc>
        <w:tc>
          <w:tcPr>
            <w:tcW w:w="8187" w:type="dxa"/>
            <w:gridSpan w:val="4"/>
            <w:tcBorders>
              <w:top w:val="nil"/>
            </w:tcBorders>
            <w:vAlign w:val="center"/>
          </w:tcPr>
          <w:p>
            <w:pPr>
              <w:keepNext w:val="0"/>
              <w:keepLines w:val="0"/>
              <w:pageBreakBefore w:val="0"/>
              <w:widowControl/>
              <w:spacing w:before="0" w:after="0" w:line="340" w:lineRule="exact"/>
              <w:ind w:firstLine="0" w:left="0" w:right="0"/>
              <w:jc w:val="center"/>
              <w:snapToGrid w:val="0"/>
            </w:pPr>
            <w:r>
              <w:rPr>
                <w:rFonts w:ascii="Times New Roman" w:hAnsi="Times New Roman" w:eastAsia="宋体"/>
                <w:b w:val="0"/>
                <w:sz w:val="21"/>
              </w:rPr>
              <w:t>年    月    日</w:t>
            </w:r>
          </w:p>
        </w:tc>
      </w:tr>
    </w:tbl>
    <w:sectPr>
      <w:headerReference r:id="rId4" w:type="first"/>
      <w:footerReference r:id="rId6" w:type="first"/>
      <w:headerReference r:id="rId3" w:type="default"/>
      <w:footerReference r:id="rId5" w:type="default"/>
      <w:type w:val="continuous"/>
      <w:pgSz w:w="11906" w:h="16838"/>
      <w:pgMar w:top="1418" w:right="1418" w:bottom="1418" w:left="1418" w:header="851" w:footer="851" w:gutter="0"/>
      <w:pgNumType w:fmt="decimal" w:start="1"/>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仿宋_GB2312">
    <w:altName w:val="仿宋"/>
    <w:panose1 w:val="00000000000000000000"/>
    <w:charset w:val="86"/>
    <w:family w:val="modern"/>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spacing w:before="0" w:after="0" w:line="300" w:lineRule="exact"/>
      <w:ind w:firstLine="0" w:left="0" w:right="0"/>
      <w:jc w:val="center"/>
      <w:snapToGrid w:val="0"/>
    </w:pPr>
    <w:r>
      <w:rPr>
        <w:rFonts w:ascii="Times New Roman" w:hAnsi="Times New Roman" w:eastAsia="宋体"/>
        <w:b w:val="0"/>
        <w:sz w:val="21"/>
      </w:rPr>
    </w: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separate"/>
    </w:r>
    <w:r>
      <w:rPr>
        <w:rFonts w:ascii="Times New Roman" w:hAnsi="Times New Roman" w:eastAsia="宋体"/>
        <w:b w:val="0"/>
        <w:sz w:val="21"/>
      </w:rPr>
      <w:t>1</w:t>
    </w:r>
    <w:r>
      <w:rPr>
        <w:rFonts w:ascii="Times New Roman" w:hAnsi="Times New Roman" w:eastAsia="宋体"/>
        <w:b w:val="0"/>
        <w:sz w:val="21"/>
      </w:rPr>
      <w:fldChar w:fldCharType="end"/>
    </w: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B1A46"/>
    <w:multiLevelType w:val="singleLevel"/>
    <w:tmpl w:val="A47B1A46"/>
    <w:lvl w:ilvl="0" w:tentative="0">
      <w:start w:val="2"/>
      <w:numFmt w:val="decimal"/>
      <w:suff w:val="nothing"/>
      <w:lvlText w:val="（%1）"/>
      <w:lvlJc w:val="left"/>
    </w:lvl>
  </w:abstractNum>
  <w:abstractNum w:abstractNumId="1">
    <w:nsid w:val="055A938B"/>
    <w:multiLevelType w:val="singleLevel"/>
    <w:tmpl w:val="055A938B"/>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lock Text"/>
    <w:basedOn w:val="1"/>
    <w:qFormat/>
    <w:uiPriority w:val="0"/>
    <w:pPr>
      <w:ind w:left="600" w:right="631" w:firstLine="460"/>
    </w:pPr>
    <w:rPr>
      <w:sz w:val="24"/>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page number"/>
    <w:basedOn w:val="7"/>
    <w:qFormat/>
    <w:uiPriority w:val="0"/>
  </w:style>
  <w:style w:type="character" w:styleId="9">
    <w:name w:val="Hyperlink"/>
    <w:basedOn w:val="7"/>
    <w:qFormat/>
    <w:uiPriority w:val="0"/>
    <w:rPr>
      <w:color w:val="0000FF"/>
      <w:u w:val="single"/>
    </w:rPr>
  </w:style>
  <w:style w:type="paragraph" w:styleId="10">
    <w:name w:val="List Paragraph"/>
    <w:basedOn w:val="1"/>
    <w:qFormat/>
    <w:uiPriority w:val="99"/>
    <w:pPr>
      <w:ind w:firstLine="420" w:firstLineChars="200"/>
    </w:pPr>
  </w:style>
  <w:style w:type="paragraph" w:customStyle="1" w:styleId="Title">
    <w:name w:val="Title"/>
  </w:style>
</w:styl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 Type="http://schemas.openxmlformats.org/officeDocument/2006/relationships/styles" Target="style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Pages>8</Pages>
  <Words>6286</Words>
  <Characters>6710</Characters>
  <Lines>6</Lines>
  <Paragraphs>1</Paragraphs>
  <TotalTime>36</TotalTime>
  <ScaleCrop>false</ScaleCrop>
  <LinksUpToDate>false</LinksUpToDate>
  <CharactersWithSpaces>7219</CharactersWithSpaces>
  <Application>WPS Office_11.1.0.15309_F1E327BC-269C-435d-A152-05C5408002CA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2007-12-05T09:05:00Z</dcterms:created>
  <dc:creator>林肯达</dc:creator>
  <cp:lastModifiedBy>林肯达</cp:lastModifiedBy>
  <cp:lastPrinted>2007-11-12T08:24:00Z</cp:lastPrinted>
  <dcterms:modified xsi:type="dcterms:W3CDTF">2023-12-13T11:26:50Z</dcterms:modified>
  <dc:title>研究生学位论文中期考核表</dc:title>
  <cp:revision>7</cp:revision>
  <dc:subject>面向大模型的数据与参数联合高效微调算法研究</dc:subject>
  <dc:description/>
  <cp:keywords>PCU-Select；中期考核</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2052-11.1.0.15309</vt:lpwstr>
  </property>
  <property fmtid="{D5CDD505-2E9C-101B-9397-08002B2CF9AE}" pid="3" name="ICV">
    <vt:lpwstr>7055786DF92143B1A30021A70B54CA7B</vt:lpwstr>
  </property>
</Properties>
</file>