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before="300" w:after="800" w:line="240" w:lineRule="auto"/>
        <w:ind w:firstLine="0"/>
        <w:jc w:val="center"/>
        <w:rPr>
          <w:rFonts w:eastAsia="幼圆"/>
          <w:b/>
          <w:spacing w:val="40"/>
          <w:sz w:val="52"/>
        </w:rPr>
      </w:pPr>
      <w:r>
        <w:rPr>
          <w:rFonts w:eastAsia="幼圆"/>
          <w:b/>
          <w:spacing w:val="40"/>
          <w:sz w:val="52"/>
        </w:rPr>
        <w:drawing>
          <wp:inline distT="0" distB="0" distL="114300" distR="114300">
            <wp:extent cx="3180715" cy="719455"/>
            <wp:effectExtent l="0" t="0" r="635" b="4445"/>
            <wp:docPr id="1" name="Picture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ut_new_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itle"/>
        <w:keepNext/>
        <w:keepLines w:val="0"/>
        <w:pageBreakBefore w:val="0"/>
        <w:widowControl/>
        <w:spacing w:before="0" w:after="680" w:line="720" w:lineRule="exact"/>
        <w:ind w:firstLine="0" w:left="0" w:right="0"/>
        <w:jc w:val="center"/>
        <w:snapToGrid w:val="0"/>
      </w:pPr>
      <w:r>
        <w:rPr>
          <w:rFonts w:ascii="Times New Roman" w:hAnsi="Times New Roman" w:eastAsia="黑体"/>
          <w:b/>
          <w:sz w:val="56"/>
        </w:rPr>
        <w:t>研究生学位（毕业）论文</w:t>
        <w:br/>
        <w:t>中期考核表</w:t>
      </w:r>
    </w:p>
    <w:p>
      <w:pPr>
        <w:keepNext/>
        <w:keepLines w:val="0"/>
        <w:pageBreakBefore w:val="0"/>
        <w:widowControl/>
        <w:spacing w:before="0" w:after="800" w:line="5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/>
          <w:sz w:val="36"/>
        </w:rPr>
        <w:t>面向大模型的数据与参数</w:t>
        <w:br/>
        <w:t>联合高效微调算法研究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90" w:type="dxa"/>
          <w:bottom w:w="0" w:type="dxa"/>
          <w:right w:w="90" w:type="dxa"/>
        </w:tblCellMar>
      </w:tblPr>
      <w:tblGrid>
        <w:gridCol w:w="2041"/>
        <w:gridCol w:w="2948"/>
      </w:tblGrid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研 究 生：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林肯达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指导教师：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杨磊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202421045825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院（系）：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软件学院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软件工程</w:t>
            </w:r>
          </w:p>
        </w:tc>
      </w:tr>
    </w:tbl>
    <w:p>
      <w:pPr>
        <w:keepNext/>
        <w:keepLines w:val="0"/>
        <w:pageBreakBefore w:val="0"/>
        <w:widowControl/>
        <w:spacing w:before="420" w:after="94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□ 博士研究生       ☑ 硕士研究生</w:t>
      </w:r>
    </w:p>
    <w:p>
      <w:pPr>
        <w:keepNext/>
        <w:keepLines w:val="0"/>
        <w:pageBreakBefore w:val="0"/>
        <w:widowControl/>
        <w:spacing w:before="0" w:after="8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华南理工大学研究生院</w:t>
      </w:r>
    </w:p>
    <w:p>
      <w:pPr>
        <w:keepNext w:val="0"/>
        <w:keepLines w:val="0"/>
        <w:pageBreakBefore w:val="0"/>
        <w:widowControl/>
        <w:spacing w:before="0" w:after="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二〇二六年九月十四日</w:t>
      </w:r>
    </w:p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一、中期考核工作基本情况</w:t>
      </w:r>
    </w:p>
    <w:tbl>
      <w:tblPr>
        <w:tblStyle w:val="6"/>
        <w:tblW w:w="0" w:type="auto"/>
        <w:jc w:val="center"/>
        <w:tblLayout w:type="fixed"/>
        <w:tblCellMar>
          <w:top w:w="85" w:type="dxa"/>
          <w:left w:w="110" w:type="dxa"/>
          <w:bottom w:w="85" w:type="dxa"/>
          <w:right w:w="11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3"/>
        <w:gridCol w:w="7519"/>
      </w:tblGrid>
      <w:tr>
        <w:trPr>
          <w:trHeight w:val="567" w:hRule="atLeast"/>
          <w:jc w:val="center"/>
          <w:cantSplit w:val="0"/>
        </w:trPr>
        <w:tc>
          <w:tcPr>
            <w:tcW w:w="155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开题报告题目</w:t>
            </w:r>
          </w:p>
        </w:tc>
        <w:tc>
          <w:tcPr>
            <w:tcW w:w="75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面向大模型的数据与参数联合高效微调算法研究</w:t>
            </w:r>
          </w:p>
        </w:tc>
      </w:tr>
      <w:tr>
        <w:trPr>
          <w:trHeight w:val="567" w:hRule="atLeast"/>
          <w:jc w:val="center"/>
          <w:cantSplit w:val="0"/>
        </w:trPr>
        <w:tc>
          <w:tcPr>
            <w:tcW w:w="1553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文献综述题目</w:t>
            </w:r>
          </w:p>
        </w:tc>
        <w:tc>
          <w:tcPr>
            <w:tcW w:w="7519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34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课题研究的创新点：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1 研究背景与动机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指令微调能够提升大语言模型在特定任务上的表现，但训练数据量大、实验配置多，往往需要较高的计算成本。参数高效微调（PEFT）通过只更新少量参数降低训练开销，数据选择则通过保留更有价值的样本减少训练数据量。两者会相互影响：不同 PEFT 配置更新的模型位置、参数形式和容量不同，同一样本的训练价值也可能随之变化。因此，数据选择需要同时考虑目标任务和模型的更新方式。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现有方法在目标适配与计算复用之间存在权衡。基于语义相似度或共享梯度的方法可以复用公共计算，却难以充分反映 PEFT 配置的差异。逐配置 LESS 为每种配置建立专属梯度库，再按任务评分，能够更好地适配目标，但新增配置需要重复建库；直接复用其他配置选出的子集，又可能降低效果。为此，本文提出 PCU-Select：共享样本信号和评分器，以任务与配置为条件预测样本价值，并为各目标生成相应子集。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1.1 动机实验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动机实验考察：同一批样本在不同 PEFT 配置下，训练价值的排序是否一致。实验固定候选池和目标任务，根据各配置下少量步数更新带来的收益对样本排序。采用 Spearman 相关系数衡量整体排序的一致性，采用 Jaccard 重叠度衡量前 5% 高价值样本的重合程度，并通过同配置的独立重复估计随机波动。进一步将源配置选出的子集用于其他目标配置，检查排序差异是否影响下游表现。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cantSplit/>
              </w:trPr>
              <w:tc>
                <w:tcPr>
                  <w:tcW w:type="dxa" w:w="8504"/>
                </w:tcPr>
                <w:p>
                  <w:pPr>
                    <w:keepNext/>
                    <w:keepLines/>
                    <w:pageBreakBefore w:val="0"/>
                    <w:widowControl/>
                    <w:snapToGrid w:val="0"/>
                    <w:spacing w:before="0" w:after="60" w:line="240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112000" cy="2161950"/>
                        <wp:docPr id="4" name="Picture 4" descr="图 1  不同 PEFT 配置的效用排序与前 5% 样本重叠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tivatio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12000" cy="21619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28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图 1  不同 PEFT 配置的效用排序与前 5% 样本重叠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注：图源为论文引言中的动机分析图。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图 1 表明，配置结构越接近，样本排序和高价值样本集合越一致；跨家族配置可能出现更大差异。这支持了本文的研究思路：样本价值不仅取决于任务，也与模型中允许更新的参数范围有关。因此，在复用公共计算时，仍需把 PEFT 配置作为评分条件。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 创新点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（1）同时考虑任务与配置的效用建模。将样本、PEFT 配置和任务共同作为输入，预测样本在该配置下对目标任务的训练价值。通过共享干预位点统一样本信号的表示方式，再用结构化编码描述更新位置、算子、容量和训练设置，使共享表示能够保留配置差异。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2）结合两类监督信号的共享评分器。利用可缓存的位点梯度生成低成本排序标签，再用少量短更新得到的实际收益修正近似误差。评分器通过条件调制和交互建模预测样本效用及其不确定性，减少为不同目标重复建立选择器的开销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3）兼顾样本价值与语义覆盖的子集选择。结合样本得分及其不确定性进行保守排序，再依据语义簇的得分和规模分配选数名额，减少样本过度集中的问题。同时区分一次性离线成本与新增配置成本，分析配置数量增加后共享计算带来的成本收益。</w:t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napToGrid w:val="0"/>
              <w:spacing w:before="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开题以来研究工作总结：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1 问题定义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设固定骨干模型为 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STIX Two Math" w:hAnsi="STIX Two Math" w:eastAsia="STIX Two Math" w:cs="STIX Two Math"/>
                      <w:i w:val="0"/>
                      <w:iCs w:val="0"/>
                      <w:sz w:val="22"/>
                      <w:szCs w:val="22"/>
                    </w:rPr>
                    <m:t xml:space="preserve">0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，候选指令数据池为 D，PEFT 配置为 p，目标任务为 t，选数预算为 B。其中，p 包括更新位置、算子、容量和训练设置。理想目标是在预算内选出子集 S，使微调后的模型在目标任务上取得尽可能好的表现：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unc>
                        <m:fName>
                          <m:limLow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arg max</m:t>
                              </m:r>
                            </m:e>
                            <m:lim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⊆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D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 </m:t>
                              </m:r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S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≤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B</m:t>
                              </m:r>
                            </m:lim>
                          </m:limLow>
                        </m:fName>
                        <m:e>
                          <m:func>
                            <m:fNam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Perf</m:t>
                              </m:r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func>
                                    <m:fName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Tune</m:t>
                                      </m:r>
                                    </m:fName>
                                    <m:e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M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0"/>
                                                  <w:iCs w:val="0"/>
                                                  <w:sz w:val="22"/>
                                                  <w:szCs w:val="22"/>
                                                </w:rPr>
                                                <m:t xml:space="preserve">0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,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1"/>
                                              <w:iCs w:val="1"/>
                                              <w:sz w:val="22"/>
                                              <w:szCs w:val="22"/>
                                            </w:rPr>
                                            <m:t xml:space="preserve">p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,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1"/>
                                              <w:iCs w:val="1"/>
                                              <w:sz w:val="22"/>
                                              <w:szCs w:val="22"/>
                                            </w:rPr>
                                            <m:t xml:space="preserve">S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,</m:t>
                                  </m:r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t</m:t>
                                      </m:r>
                                    </m:sub>
                                    <m:sup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test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func>
                        </m:e>
                      </m:func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(1)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其中，Tune 表示按配置 p 执行微调，Perf 表示任务评价指标。测试集仅用于定义目标和最终评测，不参与训练、评分或选数。实际选择使用任务摘要 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t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，即来自训练集或开发集的少量任务示例。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由于无法逐一训练并比较所有候选子集，本文用条件效用 u(x,p,t) 近似描述样本 x 在配置 p 下对任务 t 的训练价值，并学习共享评分器进行预测。引入配置条件后，样本排序可以随模型的可训练参数范围变化；共享表征与评分器则把主要建模开销集中到离线阶段，从而降低多配置场景中的累计选择成本。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 方法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2.1 总体框架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PCU-Select 包括离线建模和在线选择两个阶段。离线阶段提取可复用的样本与任务信号，编码 PEFT 配置，并用多保真标签训练共享评分器。在线阶段输入目标配置和任务，利用缓存特征为候选样本评分，再按语义簇分配选数名额，生成训练子集。图 2 展示了这一流程：底层计算可以共享，每个配置与任务组合仍有自己的排序、配额和子集。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cantSplit/>
              </w:trPr>
              <w:tc>
                <w:tcPr>
                  <w:tcW w:type="dxa" w:w="8504"/>
                </w:tcPr>
                <w:p>
                  <w:pPr>
                    <w:keepNext/>
                    <w:keepLines/>
                    <w:pageBreakBefore w:val="0"/>
                    <w:widowControl/>
                    <w:snapToGrid w:val="0"/>
                    <w:spacing w:before="0" w:after="60" w:line="240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112000" cy="2403674"/>
                        <wp:docPr id="5" name="Picture 5" descr="图 2  PCU-Select 总体架构：共享信号提取、多保真效用学习与目标条件化选择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12000" cy="24036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28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 xml:space="preserve">图 2  PCU-Select 总体框架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2.2 共享干预位点与结构化表征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不同 PEFT 方法的参数梯度形状和作用方式不同，难以直接共用梯度缓存。本文在八个均匀采样的 Transformer 层中，选取注意力、前馈网络和残差输出，共形成 24 个共享干预位点，即用于观察更新影响的公共位置。根据链式法则，参数更新对损失的影响可以通过模块输出传递，因此使用这些位点上的响应损失梯度描述样本和任务信号。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 PEFT 配置被映射到相应的作用位点。位点索引说明“在哪里更新”，结构化编码进一步说明“如何更新”及更新容量。这样既能对齐不同配置的信号，也能保留不同更新方式之间的差异。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评分器接收三类定长向量。样本向量共 848 维，包括 768 维冻结语义嵌入、16 维长度与损失等统计特征，以及 64 维隐藏状态摘要。任务向量由任务摘要中 32 个示例的样本向量取均值得到；用于构造监督标签的任务位点梯度另行保存。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PEFT 向量共 128 维，包括 96 维位点及算子编码，以及各 16 维的容量和训练设置编码。评分器由此根据配置的实际结构进行预测，而不是仅按 PEFT 家族名称查找固定结果。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2.3 多保真效用监督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逐样本完整微调可以直接观察训练收益，但成本过高。本文采用多保真监督，即结合低成本的近似标签与少量更精确的观测标签。低保真标签使用梯度代理，衡量样本梯度与任务梯度在目标配置有效位点上的方向一致性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u</m:t>
                          </m: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lo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nary>
                        <m:naryPr>
                          <m:chr m:val="∑"/>
                          <m:limLoc m:val="subSup"/>
                          <m:supHide m:val="1"/>
                        </m:naryPr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ω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∈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Ω</m:t>
                          </m:r>
                        </m:sub>
                        <m:sup/>
                        <m:e>
                          <m:sSub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w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</m:sub>
                            <m:sup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ω</m:t>
                              </m:r>
                            </m:sup>
                          </m:sSubSup>
                          <m:func>
                            <m:fNam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cos</m:t>
                              </m:r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g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x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ω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,</m:t>
                                  </m:r>
                                  <m:sSubSup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g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t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ω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func>
                        </m:e>
                      </m:nary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(2)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其中，g 为经随机投影压缩至 256 维并归一化的位点梯度，权重由配置的有效位点和容量确定。代理值在同一配置与任务条件下进行排序归一化。样本梯度只需提取一次，即可为多个配置与任务组合生成监督标签。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高保真标签通过少量步数更新直接观测任务摘要的损失下降：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i"/>
                        </m:rPr>
                        <w:rPr>
                          <w:rFonts w:ascii="STIX Two Math" w:hAnsi="STIX Two Math" w:eastAsia="STIX Two Math" w:cs="STIX Two Math"/>
                          <w:i w:val="1"/>
                          <w:iCs w:val="1"/>
                          <w:sz w:val="22"/>
                          <w:szCs w:val="22"/>
                        </w:rPr>
                        <m:t xml:space="preserve">Δ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h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L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θ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a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− 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L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V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func>
                            <m:fName>
                              <m:sSubSup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Adapt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p</m:t>
                                  </m:r>
                                </m:sub>
                                <m:sup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h</m:t>
                                  </m:r>
                                </m:sup>
                              </m:sSubSup>
                            </m:fName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B</m:t>
                                  </m:r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x</m:t>
                                      </m:r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  <m:t xml:space="preserve">;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a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(3)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式中，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θ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a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为更新起点，分别取基座模型和已开始适应的检查点；更新步数 h 取 1 或 4。小批次 B(x) 包含一个目标样本和七个条件匹配样本。共采集一万条短更新标签，采样兼顾数据覆盖、预测不确定性和选择边界，并在相同配置、任务、起点及步数组内归一化。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两类监督分工不同：梯度代理用于学习大范围的排序规律，短更新观测用于修正关键区域的偏差。短更新标签反映的是局部小批次的更新效果，不能视为单个样本在完整训练中的独立因果贡献。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2.4 条件评分与聚类配额选择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条件评分器分别编码样本、配置和任务，再通过 FiLM 条件调制，根据配置与任务信息对样本特征进行缩放和平移。同时，利用双线性交互刻画样本与配置的匹配关系。训练时先学习梯度代理给出的排序，再结合短更新标签学习排序、效用回归和不确定性。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评分器输出效用均值预测 </w:t>
            </w:r>
            <m:oMath>
              <m:acc>
                <m:accPr>
                  <m:chr m:val="̂"/>
                </m:accPr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μ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和随输入变化的不确定性尺度 </w:t>
            </w:r>
            <m:oMath>
              <m:acc>
                <m:accPr>
                  <m:chr m:val="̂"/>
                </m:accPr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σ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。在线选择时，从预测效用中减去不确定性惩罚，得到保守分数：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i"/>
                        </m:rPr>
                        <w:rPr>
                          <w:rFonts w:ascii="STIX Two Math" w:hAnsi="STIX Two Math" w:eastAsia="STIX Two Math" w:cs="STIX Two Math"/>
                          <w:i w:val="1"/>
                          <w:iCs w:val="1"/>
                          <w:sz w:val="22"/>
                          <w:szCs w:val="22"/>
                        </w:rPr>
                        <m:t xml:space="preserve">q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μ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φ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− 0.2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σ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φ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,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*</m:t>
                              </m:r>
                            </m:sup>
                          </m:sSup>
                        </m:e>
                      </m:d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(4)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式（4）降低预测不稳定样本的优先级，不确定性项仅用于排序，不表示统计置信区间。为避免高分样本集中在少数语义区域，进一步对样本进行语义聚类。设 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C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为第 k 个簇，</w:t>
            </w:r>
            <m:oMath>
              <m:sSub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为簇内前 10% 样本的平均保守分数，</w:t>
            </w:r>
            <m:oMath>
              <m:sSubSup>
                <m:e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v</m:t>
                  </m:r>
                </m:e>
                <m:sub>
                  <m:r>
                    <m:rPr>
                      <m:sty m:val="i"/>
                    </m:rPr>
                    <w:rPr>
                      <w:rFonts w:ascii="STIX Two Math" w:hAnsi="STIX Two Math" w:eastAsia="STIX Two Math" w:cs="STIX Two Math"/>
                      <w:i w:val="1"/>
                      <w:iCs w:val="1"/>
                      <w:sz w:val="22"/>
                      <w:szCs w:val="22"/>
                    </w:rPr>
                    <m:t xml:space="preserve">k</m:t>
                  </m:r>
                </m:sub>
                <m:sup>
                  <m:r>
                    <m:rPr>
                      <m:sty m:val="p"/>
                    </m:rPr>
                    <w:rPr>
                      <w:rFonts w:ascii="STIX Two Math" w:hAnsi="STIX Two Math" w:eastAsia="STIX Two Math" w:cs="STIX Two Math"/>
                      <w:i w:val="0"/>
                      <w:iCs w:val="0"/>
                      <w:sz w:val="22"/>
                      <w:szCs w:val="22"/>
                    </w:rPr>
                    <m:t xml:space="preserve"> + </m:t>
                  </m:r>
                </m:sup>
              </m:sSubSup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表示将负值截断为零后的分数，则该簇的选数配额为：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b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b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unc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round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</m:d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B</m:t>
                              </m:r>
                              <m:f>
                                <m:num>
                                  <m:sSup>
                                    <m:e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v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k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0"/>
                                                  <w:iCs w:val="0"/>
                                                  <w:sz w:val="22"/>
                                                  <w:szCs w:val="22"/>
                                                </w:rPr>
                                                <m:t xml:space="preserve"> + </m:t>
                                              </m:r>
                                            </m:sup>
                                          </m:sSubSup>
                                        </m:e>
                                      </m:d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0.6</m:t>
                                      </m:r>
                                    </m:sup>
                                  </m:sSup>
                                  <m:sSup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STIX Two Math" w:hAnsi="STIX Two Math" w:eastAsia="STIX Two Math" w:cs="STIX Two Math"/>
                                                  <w:i w:val="1"/>
                                                  <w:iCs w:val="1"/>
                                                  <w:sz w:val="22"/>
                                                  <w:szCs w:val="22"/>
                                                </w:rPr>
                                                <m:t xml:space="preserve">k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  <m:t xml:space="preserve">0.4</m:t>
                                      </m:r>
                                    </m:sup>
                                  </m:sSup>
                                </m:num>
                                <m:den>
                                  <m:nary>
                                    <m:naryPr>
                                      <m:chr m:val="∑"/>
                                      <m:limLoc m:val="subSup"/>
                                      <m:supHide m:val="1"/>
                                    </m:naryPr>
                                    <m:sub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STIX Two Math" w:hAnsi="STIX Two Math" w:eastAsia="STIX Two Math" w:cs="STIX Two Math"/>
                                          <w:i w:val="1"/>
                                          <w:iCs w:val="1"/>
                                          <w:sz w:val="22"/>
                                          <w:szCs w:val="22"/>
                                        </w:rPr>
                                        <m:t xml:space="preserve">j</m:t>
                                      </m:r>
                                    </m:sub>
                                    <m:sup/>
                                    <m:e>
                                      <m:sSup>
                                        <m:e>
                                          <m:d>
                                            <m:dPr>
                                              <m:begChr m:val="("/>
                                              <m:endChr m:val=")"/>
                                            </m:dPr>
                                            <m:e>
                                              <m:sSubSup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j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0"/>
                                                      <w:iCs w:val="0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 + </m:t>
                                                  </m:r>
                                                </m:sup>
                                              </m:sSubSup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0.6</m:t>
                                          </m:r>
                                        </m:sup>
                                      </m:sSup>
                                      <m:sSup>
                                        <m:e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</m:dPr>
                                            <m:e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w:rPr>
                                                      <w:rFonts w:ascii="STIX Two Math" w:hAnsi="STIX Two Math" w:eastAsia="STIX Two Math" w:cs="STIX Two Math"/>
                                                      <w:i w:val="1"/>
                                                      <w:iCs w:val="1"/>
                                                      <w:sz w:val="22"/>
                                                      <w:szCs w:val="22"/>
                                                    </w:rPr>
                                                    <m:t xml:space="preserve">j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STIX Two Math" w:hAnsi="STIX Two Math" w:eastAsia="STIX Two Math" w:cs="STIX Two Math"/>
                                              <w:i w:val="0"/>
                                              <w:iCs w:val="0"/>
                                              <w:sz w:val="22"/>
                                              <w:szCs w:val="22"/>
                                            </w:rPr>
                                            <m:t xml:space="preserve">0.4</m:t>
                                          </m:r>
                                        </m:sup>
                                      </m:sSup>
                                    </m:e>
                                  </m:nary>
                                </m:den>
                              </m:f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,   </m:t>
                      </m:r>
                      <m:sSub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v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+ 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unc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max</m:t>
                          </m:r>
                        </m:fName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STIX Two Math" w:hAnsi="STIX Two Math" w:eastAsia="STIX Two Math" w:cs="STIX Two Math"/>
                                      <w:i w:val="1"/>
                                      <w:iCs w:val="1"/>
                                      <w:sz w:val="22"/>
                                      <w:szCs w:val="22"/>
                                    </w:rPr>
                                    <m:t xml:space="preserve">k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0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(5)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式（5）结合目标效用和簇规模分配预算，再从每个簇中选取分数最高的样本，并按确定性规则处理舍入余数，使总选数满足预算。30 万候选样本按既定规则形成 547 个簇。语义聚类可供不同目标共享，各目标的条件分数则决定具体的配额分布。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对于已见配置和结构接近的配置，评分器可直接使用。对于同一家族内较大的结构变化或未见家族，若有兼容标签，则进行少量校准；否则采用逐目标选择方法。该适用范围建立在固定骨干及兼容表征之上，不能直接扩展到任意配置或骨干模型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 实验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3.1 实验设置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实验围绕三个问题展开：在已见配置上，PCU-Select 的下游表现能否接近逐配置 LESS；共享计算能否降低多配置选择成本；在未见配置上，少量标签校准能否改善效果。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实验采用 Llama-2-7B 骨干模型，从去污染后的 30 万条混合指令数据中选择 10%，即 3 万条样本。主实验包含 GSM8K、HumanEval、MMLU 和 TyDiQA 四个任务，分别采用精确匹配率、Pass@1、准确率和 F1，并对四项百分制指标取等权平均。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每个任务摘要包含 32 个训练集或开发集示例，与评测数据保持分离；HumanEval 的摘要由 MBPP 和 CodeAlpaca 构造。主实验覆盖 AD-b64、IA3-attnmlp、L-r16-qkvo、L-r8-mlp 和 L-r8-qv 五种已见配置，即评分器训练阶段已纳入的配置。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各方法使用相同的骨干、PEFT 训练设置和评测协议。下游训练采用 AdamW 优化器，共训练 1000 步，全局批量为 128，最大序列长度为 1024，并使用余弦学习率调度。计时平台为 8 张 NVIDIA H20-96GB，GPU 小时按实际运行小时数乘以 GPU 数计算。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以下结果整理自论文正文，表中保留均值，用于比较整体表现，不据此作出基于独立样本的显著性判断。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3.2 实验一 已见配置上的下游质量对比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本实验比较各方法选出数据后的下游表现。Random 随机选数；RDS+ 按冻结表征与任务摘要的相似度选数；Influence 使用不区分 PEFT 配置的共享梯度库；LESS 为每种配置单独建库。PCU-Select 共享表征和评分器，并为每个配置与任务组合生成对应子集。</w:t>
            </w:r>
          </w:p>
          <w:tbl>
            <w:tblPr>
              <w:tblW w:w="839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390"/>
            </w:tblGrid>
            <w:tr>
              <w:trPr>
                <w:cantSplit/>
              </w:trPr>
              <w:tc>
                <w:tcPr>
                  <w:tcW w:w="8390" w:type="dxa"/>
                </w:tcPr>
                <w:p>
                  <w:pPr>
                    <w:keepNext/>
                    <w:keepLines w:val="0"/>
                    <w:pageBreakBefore w:val="0"/>
                    <w:widowControl/>
                    <w:snapToGrid w:val="0"/>
                    <w:spacing w:before="80" w:after="80" w:line="32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表 1  五种已见 PEFT 配置的主实验结果</w:t>
                  </w:r>
                </w:p>
                <w:tbl>
                  <w:tblPr>
                    <w:tblW w:type="auto" w:w="0"/>
                    <w:jc w:val="center"/>
                    <w:tblBorders>
                      <w:top w:val="single" w:sz="4" w:color="808080"/>
                      <w:left w:val="single" w:sz="4" w:color="808080"/>
                      <w:bottom w:val="single" w:sz="4" w:color="808080"/>
                      <w:right w:val="single" w:sz="4" w:color="808080"/>
                      <w:insideH w:val="single" w:sz="4" w:color="808080"/>
                      <w:insideV w:val="single" w:sz="4" w:color="808080"/>
                    </w:tblBorders>
                    <w:tblLayout w:type="fixed"/>
                    <w:tblCellMar>
                      <w:top w:w="65" w:type="dxa"/>
                      <w:left w:w="90" w:type="dxa"/>
                      <w:bottom w:w="65" w:type="dxa"/>
                      <w:right w:w="9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74"/>
                    <w:gridCol w:w="1077"/>
                    <w:gridCol w:w="1247"/>
                    <w:gridCol w:w="1247"/>
                    <w:gridCol w:w="1077"/>
                    <w:gridCol w:w="1077"/>
                    <w:gridCol w:w="1191"/>
                  </w:tblGrid>
                  <w:tr>
                    <w:trPr>
                      <w:tblHeader/>
                      <w:cantSplit/>
                    </w:trPr>
                    <w:tc>
                      <w:tcPr>
                        <w:tcW w:type="dxa" w:w="1474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方法</w:t>
                        </w:r>
                      </w:p>
                    </w:tc>
                    <w:tc>
                      <w:tcPr>
                        <w:tcW w:type="dxa" w:w="107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AD-b64</w:t>
                        </w:r>
                      </w:p>
                    </w:tc>
                    <w:tc>
                      <w:tcPr>
                        <w:tcW w:type="dxa" w:w="124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IA3-</w:t>
                          <w:br/>
                          <w:t>attnmlp</w:t>
                        </w:r>
                      </w:p>
                    </w:tc>
                    <w:tc>
                      <w:tcPr>
                        <w:tcW w:type="dxa" w:w="124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L-r16-</w:t>
                          <w:br/>
                          <w:t>qkvo</w:t>
                        </w:r>
                      </w:p>
                    </w:tc>
                    <w:tc>
                      <w:tcPr>
                        <w:tcW w:type="dxa" w:w="107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L-r8-</w:t>
                          <w:br/>
                          <w:t>mlp</w:t>
                        </w:r>
                      </w:p>
                    </w:tc>
                    <w:tc>
                      <w:tcPr>
                        <w:tcW w:type="dxa" w:w="1077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L-r8-qv</w:t>
                        </w:r>
                      </w:p>
                    </w:tc>
                    <w:tc>
                      <w:tcPr>
                        <w:tcW w:type="dxa" w:w="1191"/>
                        <w:shd w:fill="F2F2F2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平均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Random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32.79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31.74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33.11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31.97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31.82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32.29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RDS+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35.27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33.54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35.00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34.46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33.91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34.44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Influence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35.08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33.84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35.24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34.69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34.53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34.68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LESS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35.52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34.44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35.80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35.13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34.80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sz w:val="20"/>
                          </w:rPr>
                          <w:t>35.14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74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PCU-Select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35.61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34.60</w:t>
                        </w:r>
                      </w:p>
                    </w:tc>
                    <w:tc>
                      <w:tcPr>
                        <w:tcW w:type="dxa" w:w="124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35.93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34.56</w:t>
                        </w:r>
                      </w:p>
                    </w:tc>
                    <w:tc>
                      <w:tcPr>
                        <w:tcW w:type="dxa" w:w="1077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35.18</w:t>
                        </w:r>
                      </w:p>
                    </w:tc>
                    <w:tc>
                      <w:tcPr>
                        <w:tcW w:type="dxa" w:w="1191"/>
                        <w:vAlign w:val="center"/>
                      </w:tcPr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snapToGrid w:val="0"/>
                          <w:spacing w:before="0" w:after="0" w:line="300" w:lineRule="exact"/>
                          <w:ind w:firstLine="0" w:left="0" w:right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/>
                            <w:sz w:val="20"/>
                          </w:rPr>
                          <w:t>35.18</w:t>
                        </w:r>
                      </w:p>
                    </w:tc>
                  </w:tr>
                </w:tbl>
                <w:p>
                  <w:pPr>
                    <w:spacing w:line="20" w:lineRule="exact"/>
                  </w:pP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注：改编自论文正文主实验表，仅保留均值。各配置列为四个任务百分制指标的等权平均，最后一列为五种配置的平均值。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表 1 中，PCU-Select 的总体平均分为 35.18，LESS 为 35.14，相差 0.04 个指标点；相比 RDS+ 和 Influence，分别高 0.74 和 0.50 个指标点。可见，在五种已见配置上，PCU-Select 的平均表现接近逐配置 LESS。但在 L-r8-mlp 上，PCU-Select 为 34.56，低于 LESS 的 35.13。因此，平均分接近不意味着所有配置和任务均占优。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3.3 实验二 跨配置复用与摊销成本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本实验比较多个 PEFT 配置下的数据选择成本，区分一次性固定或共享开销与新增配置开销，每种配置均服务四个任务。同时加入 Reuse-one-LESS，将一个源配置为各任务选出的子集用于所有目标配置，以检验直接复用子集的影响。表 2 报告选择质量与成本，不计各方法共有的下游微调开销。</w:t>
            </w:r>
          </w:p>
          <w:p>
            <w:pPr>
              <w:keepNext/>
              <w:keepLines w:val="0"/>
              <w:pageBreakBefore w:val="0"/>
              <w:widowControl/>
              <w:snapToGrid w:val="0"/>
              <w:spacing w:before="80" w:after="80" w:line="320" w:lineRule="exact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表 2  五种已见配置的质量与选择成本</w:t>
            </w:r>
          </w:p>
          <w:tbl>
            <w:tblPr>
              <w:tblW w:type="auto" w:w="0"/>
              <w:jc w:val="center"/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  <w:tblLayout w:type="fixed"/>
              <w:tblCellMar>
                <w:top w:w="65" w:type="dxa"/>
                <w:left w:w="90" w:type="dxa"/>
                <w:bottom w:w="65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2154"/>
              <w:gridCol w:w="1247"/>
              <w:gridCol w:w="1304"/>
              <w:gridCol w:w="1304"/>
              <w:gridCol w:w="1134"/>
              <w:gridCol w:w="1247"/>
            </w:tblGrid>
            <w:tr>
              <w:trPr>
                <w:tblHeader/>
                <w:cantSplit/>
              </w:trPr>
              <w:tc>
                <w:tcPr>
                  <w:tcW w:type="dxa" w:w="215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方法</w:t>
                  </w:r>
                </w:p>
              </w:tc>
              <w:tc>
                <w:tcPr>
                  <w:tcW w:type="dxa" w:w="1247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固定/共享</w:t>
                    <w:br/>
                    <w:t>成本</w:t>
                  </w:r>
                </w:p>
              </w:tc>
              <w:tc>
                <w:tcPr>
                  <w:tcW w:type="dxa" w:w="130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新增配置</w:t>
                    <w:br/>
                    <w:t>成本</w:t>
                  </w:r>
                </w:p>
              </w:tc>
              <w:tc>
                <w:tcPr>
                  <w:tcW w:type="dxa" w:w="130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五配置</w:t>
                    <w:br/>
                    <w:t>总成本</w:t>
                  </w:r>
                </w:p>
              </w:tc>
              <w:tc>
                <w:tcPr>
                  <w:tcW w:type="dxa" w:w="113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质量</w:t>
                  </w:r>
                </w:p>
              </w:tc>
              <w:tc>
                <w:tcPr>
                  <w:tcW w:type="dxa" w:w="1247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相对 LESS</w:t>
                    <w:br/>
                    <w:t>差值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Random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32.29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-2.85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RDS+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1.6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1.6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34.44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-0.70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Influence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48.8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48.8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34.68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-0.46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Reuse-one-LESS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63.2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63.2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34.24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-0.90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LESS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63.20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316.0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35.14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0.00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PCU-Select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144.0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1.51</w:t>
                  </w:r>
                </w:p>
              </w:tc>
              <w:tc>
                <w:tcPr>
                  <w:tcW w:type="dxa" w:w="130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151.6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35.18</w:t>
                  </w:r>
                </w:p>
              </w:tc>
              <w:tc>
                <w:tcPr>
                  <w:tcW w:type="dxa" w:w="124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30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+0.04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注：改编自论文正文。成本单位为 GPU 小时，按五种配置、四个任务计算；质量为各任务与配置的平均分，差值单位为指标点。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PCU-Select 的一次性离线开销为 144.0 GPU 小时，此后每增加一种服务四个任务的配置，选择开销为 1.51 GPU 小时。LESS 每种配置需要 63.2 GPU 小时，约为 PCU-Select 新增配置开销的 42 倍。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Reuse-one-LESS 的质量为 34.24，低于 RDS+ 的 34.44，说明直接复用已有子集可能降低与目标配置的匹配程度。PCU-Select 复用的是公共表征和评分器，仍为各目标配置分别生成子集。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eqArr>
                        <m:eqArrPr>
                          <m:baseJc m:val="center"/>
                        </m:eqArr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PCU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Q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= 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offline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+ 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PQ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PCU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pair</m:t>
                              </m:r>
                            </m:sup>
                          </m:sSubSup>
                        </m:e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LESS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P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,</m:t>
                              </m:r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Q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= 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LESS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data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 + </m:t>
                          </m:r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PQ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w:rPr>
                                  <w:rFonts w:ascii="STIX Two Math" w:hAnsi="STIX Two Math" w:eastAsia="STIX Two Math" w:cs="STIX Two Math"/>
                                  <w:i w:val="1"/>
                                  <w:iCs w:val="1"/>
                                  <w:sz w:val="22"/>
                                  <w:szCs w:val="22"/>
                                </w:rPr>
                                <m:t xml:space="preserve">C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LESS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STIX Two Math" w:hAnsi="STIX Two Math" w:eastAsia="STIX Two Math" w:cs="STIX Two Math"/>
                                  <w:i w:val="0"/>
                                  <w:iCs w:val="0"/>
                                  <w:sz w:val="22"/>
                                  <w:szCs w:val="22"/>
                                </w:rPr>
                                <m:t xml:space="preserve">rank</m:t>
                              </m:r>
                            </m:sup>
                          </m:sSubSup>
                        </m:e>
                      </m:eqArr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(6)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式（6）描述累计选择成本，其中 P 为配置数，Q 为任务数。offline 表示共享离线开销，pair 表示一个配置与任务组合的评分和选数成本；data 和 rank 分别表示 LESS 的建库与任务排序成本。当 Q=4 且目标配置无须额外校准时，两种方法的累计成本分别为 144+1.51P 和 63.2P，成本相等时的配置数为：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60" w:type="dxa"/>
                <w:left w:w="0" w:type="dxa"/>
                <w:bottom w:w="6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5"/>
              <w:gridCol w:w="7654"/>
              <w:gridCol w:w="425"/>
            </w:tblGrid>
            <w:tr>
              <w:trPr>
                <w:cantSplit/>
              </w:trPr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</w:p>
              </w:tc>
              <w:tc>
                <w:tcPr>
                  <w:tcW w:type="dxa" w:w="7654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m:oMathPara>
                    <m:oMathParaPr>
                      <m:jc m:val="center"/>
                    </m:oMathParaPr>
                    <m:oMath>
                      <m:sSup>
                        <m:e>
                          <m:r>
                            <m:rPr>
                              <m:sty m:val="i"/>
                            </m:rPr>
                            <w:rPr>
                              <w:rFonts w:ascii="STIX Two Math" w:hAnsi="STIX Two Math" w:eastAsia="STIX Two Math" w:cs="STIX Two Math"/>
                              <w:i w:val="1"/>
                              <w:iCs w:val="1"/>
                              <w:sz w:val="22"/>
                              <w:szCs w:val="22"/>
                            </w:rPr>
                            <m:t xml:space="preserve"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 = </m:t>
                      </m:r>
                      <m:f>
                        <m:num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144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STIX Two Math" w:hAnsi="STIX Two Math" w:eastAsia="STIX Two Math" w:cs="STIX Two Math"/>
                              <w:i w:val="0"/>
                              <w:iCs w:val="0"/>
                              <w:sz w:val="22"/>
                              <w:szCs w:val="22"/>
                            </w:rPr>
                            <m:t xml:space="preserve">63.2−1.51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STIX Two Math" w:hAnsi="STIX Two Math" w:eastAsia="STIX Two Math" w:cs="STIX Two Math"/>
                          <w:i w:val="0"/>
                          <w:iCs w:val="0"/>
                          <w:sz w:val="22"/>
                          <w:szCs w:val="22"/>
                        </w:rPr>
                        <m:t xml:space="preserve">≈2.33</m:t>
                      </m:r>
                    </m:oMath>
                  </m:oMathPara>
                </w:p>
              </w:tc>
              <w:tc>
                <w:tcPr>
                  <w:tcW w:type="dxa" w:w="425"/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/>
                    <w:snapToGrid w:val="0"/>
                    <w:spacing w:before="0" w:after="0" w:line="276" w:lineRule="auto"/>
                    <w:ind w:firstLine="0" w:left="0" w:right="0"/>
                    <w:jc w:val="righ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(7)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4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按这一成本模型，从第三种配置开始，PCU-Select 的累计选择成本低于 LESS。服务五种配置时，两者分别需要 151.6 和 316.0 GPU 小时，LESS 的成本约为 PCU-Select 的 2.09 倍。收益主要来自跨配置复用：若仅为已有配置增加一个任务，两者开销分别约为 0.38 和 0.30 GPU 小时。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若每个新配置的四个任务均需 500 条标签校准，PCU-Select 每配置还需增加 4.2 GPU 小时，成本交点移至约 2.50。上述成本比较仅涉及数据选择阶段，不能直接视为端到端训练的加速倍数。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3.4 实验三 未见配置上的少量标签校准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本实验考察评分器对未见配置的适用范围。评测前按结构接近程度分组：L0 接近已见配置，L1 为同一家族内的较大结构变化，L2 为未见家族。图 3 汇总各组在 GSM8K、HumanEval 和 MMLU 三个任务上的平均分数差距。纵轴为 LESS 得分减去 PCU-Select 得分，数值越小越好。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Cal-200 和 Cal-500 分别使用 200 条和 500 条目标配置与任务组合的标签进行校准。校准时固定共享评分器，仅训练零初始化的线性残差头，用于修正原有预测。每条标签通过一个已适应检查点的一步更新产生；两种方案在每个配置与任务组合上的成本分别为 0.42 和 1.05 GPU 小时，用于检验少量局部监督能否纠正未见配置的排序偏差。</w:t>
            </w:r>
          </w:p>
          <w:tbl>
            <w:tblPr>
              <w:tblW w:type="auto" w:w="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cantSplit/>
              </w:trPr>
              <w:tc>
                <w:tcPr>
                  <w:tcW w:type="dxa" w:w="8504"/>
                </w:tcPr>
                <w:p>
                  <w:pPr>
                    <w:keepNext/>
                    <w:keepLines/>
                    <w:pageBreakBefore w:val="0"/>
                    <w:widowControl/>
                    <w:snapToGrid w:val="0"/>
                    <w:spacing w:before="0" w:after="60" w:line="240" w:lineRule="auto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708000" cy="2096873"/>
                        <wp:docPr id="6" name="Picture 6" descr="图 3  注册范围外配置的校准结果（差距越小越好）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alibration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8000" cy="20968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snapToGrid w:val="0"/>
                    <w:spacing w:before="0" w:after="0" w:line="280" w:lineRule="exact"/>
                    <w:ind w:firstLine="0" w:left="0" w:right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 xml:space="preserve">图 3  未见配置的校准结果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napToGrid w:val="0"/>
              <w:spacing w:before="0" w:after="0" w:line="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1"/>
              <w:pageBreakBefore w:val="0"/>
              <w:widowControl/>
              <w:snapToGrid w:val="0"/>
              <w:spacing w:before="0" w:after="80" w:line="28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注：图源为论文正文，汇总三个任务。L0 未报告校准结果，图中空缺不表示零差距。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结果显示，L0 直接评分与 LESS 的差距为 0.34 个指标点。L1 未校准时的差距为 2.08，采用 Cal-200 和 Cal-500 后分别缩小至 0.91 和 0.30。Prefix/P-Tuning 的差距由 6.97 分别缩小至 2.17 和 1.99，标签数从 200 增至 500 仅进一步改善 0.18 个指标点。这说明，少量校准能够缓解同一家族内的结构偏移，但跨家族配置仍可能存在较大差距，使用时需兼顾结构兼容性、校准成本与目标质量要求。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80" w:after="100" w:line="36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4 总结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4.1 研究总结与不足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本文针对多配置数据选择中的目标适配与重复计算问题，提出 PCU-Select。该方法通过共享干预位点复用样本信号，以多保真监督训练条件评分器，再结合聚类配额选数，兼顾样本效用与语义覆盖。现阶段已完成方法设计和实验分析，并按任务、配置和训练种子汇总结果。实验表明，在五种已见配置上，方法的平均表现接近逐配置 LESS，跨配置复用能够降低累计选择成本。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方法的适用范围仍受骨干模型、表征和配置兼容性约束。结构接近已见配置时可直接评分；结构偏移较大时，需要兼容标签进行校准，否则采用逐目标选择方法。后续将进一步分析任务差异、预算敏感性和额外校准成本，明确质量与成本结论的适用条件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下一阶段还将整理动机实验和正文三个实验的运行记录，使研究假设、方法设计与实验结论形成清晰的对应关系。</w:t>
            </w:r>
          </w:p>
          <w:p>
            <w:pPr>
              <w:keepNext w:val="1"/>
              <w:keepLines w:val="0"/>
              <w:pageBreakBefore w:val="0"/>
              <w:widowControl/>
              <w:snapToGrid w:val="0"/>
              <w:spacing w:before="14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4.2 后续研究计划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（1）完善 PCU-Select 的实验分析，进一步明确不同任务、选数预算和配置差异下的适用范围，整理方法与实验材料。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（2）基于现有算法开发多配置数据选择与微调实验管理系统，研究分层缓存与增量复用、公共计算去重与阶段恢复，支持多任务、多配置实验的统一执行。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（3）通过对比实验检验缓存复用结果的一致性，评估运行时间、存储占用和恢复开销，完成系统总结及学位论文撰写。</w:t>
            </w:r>
          </w:p>
        </w:tc>
      </w:tr>
      <w:tr>
        <w:trPr>
          <w:jc w:val="center"/>
          <w:cantSplit/>
        </w:trPr>
        <w:tc>
          <w:tcPr>
            <w:tcW w:w="9072" w:type="dxa"/>
            <w:gridSpan w:val="2"/>
            <w:vAlign w:val="top"/>
          </w:tcPr>
          <w:p>
            <w:pPr>
              <w:keepNext/>
              <w:keepLines w:val="0"/>
              <w:pageBreakBefore w:val="0"/>
              <w:widowControl/>
              <w:snapToGrid w:val="0"/>
              <w:spacing w:before="0" w:after="80" w:line="340" w:lineRule="exact"/>
              <w:ind w:firstLine="0" w:left="0" w:right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与课题相关的学术成果情况：</w:t>
            </w:r>
          </w:p>
          <w:p>
            <w:pPr>
              <w:keepNext w:val="0"/>
              <w:keepLines w:val="0"/>
              <w:pageBreakBefore w:val="0"/>
              <w:widowControl/>
              <w:snapToGrid w:val="0"/>
              <w:spacing w:before="0" w:after="60" w:line="320" w:lineRule="exact"/>
              <w:ind w:firstLine="420" w:left="0" w:right="0"/>
              <w:jc w:val="both"/>
            </w:pPr>
          </w:p>
        </w:tc>
      </w:tr>
    </w:tbl>
    <w:p>
      <w:pPr>
        <w:keepNext/>
        <w:keepLines w:val="0"/>
        <w:pageBreakBefore w:val="1"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二、中期考核作者承诺及导师意见</w:t>
      </w:r>
    </w:p>
    <w:tbl>
      <w:tblPr>
        <w:tblStyle w:val="6"/>
        <w:tblW w:w="0" w:type="auto"/>
        <w:jc w:val="center"/>
        <w:tblLayout w:type="fixed"/>
        <w:tblCellMar>
          <w:top w:w="150" w:type="dxa"/>
          <w:left w:w="140" w:type="dxa"/>
          <w:bottom w:w="130" w:type="dxa"/>
          <w:right w:w="14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  <w:cantSplit/>
        </w:trPr>
        <w:tc>
          <w:tcPr>
            <w:tcW w:w="8946" w:type="dxa"/>
          </w:tcPr>
          <w:p>
            <w:pPr>
              <w:keepNext w:val="0"/>
              <w:keepLines w:val="0"/>
              <w:pageBreakBefore w:val="0"/>
              <w:widowControl/>
              <w:spacing w:before="0" w:after="560" w:line="46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我保证上述填报内容的真实性，并将在导师指导下，严格遵守学校的有关规定，按计划认真开展学位（毕业）论文研究工作。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30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研究生签名：________________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  <w:cantSplit/>
        </w:trPr>
        <w:tc>
          <w:tcPr>
            <w:tcW w:w="8946" w:type="dxa"/>
          </w:tcPr>
          <w:p>
            <w:pPr>
              <w:keepNext w:val="0"/>
              <w:keepLines w:val="0"/>
              <w:pageBreakBefore w:val="0"/>
              <w:widowControl/>
              <w:spacing w:before="0" w:after="560" w:line="46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我已审阅过中期考核的全部内容，同意研究生参加中期考核。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30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</w:tbl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三、中期考核审核意见</w:t>
      </w:r>
    </w:p>
    <w:tbl>
      <w:tblPr>
        <w:tblStyle w:val="5"/>
        <w:tblW w:w="9228" w:type="dxa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41"/>
        <w:gridCol w:w="567"/>
        <w:gridCol w:w="1701"/>
        <w:gridCol w:w="2299"/>
        <w:gridCol w:w="3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9228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中期考核小组成员名单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组成人员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姓  名</w:t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职  称</w:t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组长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  <w:jc w:val="center"/>
          <w:cantSplit/>
        </w:trPr>
        <w:tc>
          <w:tcPr>
            <w:tcW w:w="104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核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见</w:t>
            </w:r>
          </w:p>
        </w:tc>
        <w:tc>
          <w:tcPr>
            <w:tcW w:w="8187" w:type="dxa"/>
            <w:gridSpan w:val="4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pacing w:before="0" w:after="0" w:line="36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具体意见：</w:t>
            </w:r>
          </w:p>
          <w:p>
            <w:pPr>
              <w:keepNext w:val="0"/>
              <w:keepLines w:val="0"/>
              <w:pageBreakBefore w:val="0"/>
              <w:widowControl/>
              <w:spacing w:before="1480" w:after="0" w:line="36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审核结果：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□ 通过         □ 暂缓通过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组长签名：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  <w:cantSplit/>
        </w:trPr>
        <w:tc>
          <w:tcPr>
            <w:tcW w:w="104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院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（系）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见</w:t>
            </w:r>
          </w:p>
        </w:tc>
        <w:tc>
          <w:tcPr>
            <w:tcW w:w="8187" w:type="dxa"/>
            <w:gridSpan w:val="4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主管领导签名：                         院（系）公章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年    月    日</w:t>
            </w:r>
          </w:p>
        </w:tc>
      </w:tr>
    </w:tbl>
    <w:sectPr>
      <w:headerReference r:id="rId4" w:type="first"/>
      <w:footerReference r:id="rId6" w:type="first"/>
      <w:headerReference r:id="rId3" w:type="default"/>
      <w:footerReference r:id="rId5" w:type="default"/>
      <w:type w:val="continuous"/>
      <w:pgSz w:w="11906" w:h="16838"/>
      <w:pgMar w:top="1418" w:right="1418" w:bottom="1418" w:left="1418" w:header="851" w:footer="851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spacing w:before="0" w:after="0" w:line="300" w:lineRule="exact"/>
      <w:ind w:firstLine="0" w:left="0" w:right="0"/>
      <w:jc w:val="center"/>
      <w:snapToGrid w:val="0"/>
    </w:pPr>
    <w:r>
      <w:rPr>
        <w:rFonts w:ascii="Times New Roman" w:hAnsi="Times New Roman" w:eastAsia="宋体"/>
        <w:b w:val="0"/>
        <w:sz w:val="21"/>
      </w:rPr>
    </w: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rPr>
        <w:rFonts w:ascii="Times New Roman" w:hAnsi="Times New Roman" w:eastAsia="宋体"/>
        <w:b w:val="0"/>
        <w:sz w:val="21"/>
      </w:rP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B1A46"/>
    <w:multiLevelType w:val="singleLevel"/>
    <w:tmpl w:val="A47B1A4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55A938B"/>
    <w:multiLevelType w:val="singleLevel"/>
    <w:tmpl w:val="055A93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600" w:right="631" w:firstLine="460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" Type="http://schemas.openxmlformats.org/officeDocument/2006/relationships/styles" Target="styl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/>
  <Pages>8</Pages>
  <Words>6286</Words>
  <Characters>6710</Characters>
  <Lines>6</Lines>
  <Paragraphs>1</Paragraphs>
  <TotalTime>36</TotalTime>
  <ScaleCrop>false</ScaleCrop>
  <LinksUpToDate>false</LinksUpToDate>
  <CharactersWithSpaces>7219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2007-12-05T09:05:00Z</dcterms:created>
  <dc:creator>林肯达</dc:creator>
  <cp:lastModifiedBy>林肯达</cp:lastModifiedBy>
  <cp:lastPrinted>2007-11-12T08:24:00Z</cp:lastPrinted>
  <dcterms:modified xsi:type="dcterms:W3CDTF">2023-12-13T11:26:50Z</dcterms:modified>
  <dc:title>研究生学位论文中期考核表</dc:title>
  <cp:revision>7</cp:revision>
  <dc:subject>面向大模型的数据与参数联合高效微调算法研究</dc:subject>
  <dc:description/>
  <cp:keywords>PCU-Select；中期考核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7055786DF92143B1A30021A70B54CA7B</vt:lpwstr>
  </property>
</Properties>
</file>