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before="300" w:after="800" w:line="240" w:lineRule="auto"/>
        <w:ind w:firstLine="0"/>
        <w:jc w:val="center"/>
        <w:rPr>
          <w:rFonts w:eastAsia="幼圆"/>
          <w:b/>
          <w:spacing w:val="40"/>
          <w:sz w:val="52"/>
        </w:rPr>
      </w:pPr>
      <w:r>
        <w:rPr>
          <w:rFonts w:eastAsia="幼圆"/>
          <w:b/>
          <w:spacing w:val="40"/>
          <w:sz w:val="52"/>
        </w:rPr>
        <w:drawing>
          <wp:inline distT="0" distB="0" distL="114300" distR="114300">
            <wp:extent cx="3180715" cy="719455"/>
            <wp:effectExtent l="0" t="0" r="635" b="4445"/>
            <wp:docPr id="1" name="Picture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ut_new_logo2"/>
                    <pic:cNvPicPr>
                      <a:picLocks noChangeAspect="1"/>
                    </pic:cNvPicPr>
                  </pic:nvPicPr>
                  <pic:blipFill>
                    <a:blip r:embed="rId8"/>
                    <a:stretch>
                      <a:fillRect/>
                    </a:stretch>
                  </pic:blipFill>
                  <pic:spPr>
                    <a:xfrm>
                      <a:off x="0" y="0"/>
                      <a:ext cx="3180715" cy="719455"/>
                    </a:xfrm>
                    <a:prstGeom prst="rect">
                      <a:avLst/>
                    </a:prstGeom>
                    <a:noFill/>
                    <a:ln>
                      <a:noFill/>
                    </a:ln>
                  </pic:spPr>
                </pic:pic>
              </a:graphicData>
            </a:graphic>
          </wp:inline>
        </w:drawing>
      </w:r>
    </w:p>
    <w:p>
      <w:pPr>
        <w:pStyle w:val="Title"/>
        <w:keepNext/>
        <w:keepLines w:val="0"/>
        <w:pageBreakBefore w:val="0"/>
        <w:widowControl/>
        <w:spacing w:before="0" w:after="680" w:line="720" w:lineRule="exact"/>
        <w:ind w:firstLine="0" w:left="0" w:right="0"/>
        <w:jc w:val="center"/>
        <w:snapToGrid w:val="0"/>
      </w:pPr>
      <w:r>
        <w:rPr>
          <w:rFonts w:ascii="Times New Roman" w:hAnsi="Times New Roman" w:eastAsia="黑体"/>
          <w:b/>
          <w:sz w:val="56"/>
        </w:rPr>
        <w:t>研究生学位（毕业）论文</w:t>
        <w:br/>
        <w:t>中期考核表</w:t>
      </w:r>
    </w:p>
    <w:p>
      <w:pPr>
        <w:keepNext/>
        <w:keepLines w:val="0"/>
        <w:pageBreakBefore w:val="0"/>
        <w:widowControl/>
        <w:spacing w:before="0" w:after="800" w:line="560" w:lineRule="exact"/>
        <w:ind w:firstLine="0" w:left="0" w:right="0"/>
        <w:jc w:val="center"/>
        <w:snapToGrid w:val="0"/>
      </w:pPr>
      <w:r>
        <w:rPr>
          <w:rFonts w:ascii="Times New Roman" w:hAnsi="Times New Roman" w:eastAsia="宋体"/>
          <w:b/>
          <w:sz w:val="36"/>
        </w:rPr>
        <w:t>面向大模型的数据与参数</w:t>
        <w:br/>
        <w:t>联合高效微调算法研究</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CellMar>
          <w:top w:w="0" w:type="dxa"/>
          <w:left w:w="90" w:type="dxa"/>
          <w:bottom w:w="0" w:type="dxa"/>
          <w:right w:w="90" w:type="dxa"/>
        </w:tblCellMar>
      </w:tblPr>
      <w:tblGrid>
        <w:gridCol w:w="2041"/>
        <w:gridCol w:w="2948"/>
      </w:tblGrid>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研 究 生：</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林肯达</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指导教师：</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杨磊</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学    号：</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202421045825</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院（系）：</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软件学院</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专    业：</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软件工程</w:t>
            </w:r>
          </w:p>
        </w:tc>
      </w:tr>
    </w:tbl>
    <w:p>
      <w:pPr>
        <w:keepNext/>
        <w:keepLines w:val="0"/>
        <w:pageBreakBefore w:val="0"/>
        <w:widowControl/>
        <w:spacing w:before="420" w:after="940" w:line="460" w:lineRule="exact"/>
        <w:ind w:firstLine="0" w:left="0" w:right="0"/>
        <w:jc w:val="center"/>
        <w:snapToGrid w:val="0"/>
      </w:pPr>
      <w:r>
        <w:rPr>
          <w:rFonts w:ascii="Times New Roman" w:hAnsi="Times New Roman" w:eastAsia="宋体"/>
          <w:b w:val="0"/>
          <w:sz w:val="28"/>
        </w:rPr>
        <w:t>□ 博士研究生       ☑ 硕士研究生</w:t>
      </w:r>
    </w:p>
    <w:p>
      <w:pPr>
        <w:keepNext/>
        <w:keepLines w:val="0"/>
        <w:pageBreakBefore w:val="0"/>
        <w:widowControl/>
        <w:spacing w:before="0" w:after="80" w:line="460" w:lineRule="exact"/>
        <w:ind w:firstLine="0" w:left="0" w:right="0"/>
        <w:jc w:val="center"/>
        <w:snapToGrid w:val="0"/>
      </w:pPr>
      <w:r>
        <w:rPr>
          <w:rFonts w:ascii="Times New Roman" w:hAnsi="Times New Roman" w:eastAsia="宋体"/>
          <w:b w:val="0"/>
          <w:sz w:val="28"/>
        </w:rPr>
        <w:t>华南理工大学研究生院</w:t>
      </w:r>
    </w:p>
    <w:p>
      <w:pPr>
        <w:keepNext w:val="0"/>
        <w:keepLines w:val="0"/>
        <w:pageBreakBefore w:val="0"/>
        <w:widowControl/>
        <w:spacing w:before="0" w:after="0" w:line="460" w:lineRule="exact"/>
        <w:ind w:firstLine="0" w:left="0" w:right="0"/>
        <w:jc w:val="center"/>
        <w:snapToGrid w:val="0"/>
      </w:pPr>
      <w:r>
        <w:rPr>
          <w:rFonts w:ascii="Times New Roman" w:hAnsi="Times New Roman" w:eastAsia="宋体"/>
          <w:b w:val="0"/>
          <w:sz w:val="28"/>
        </w:rPr>
        <w:t>二〇二六年九月十四日</w:t>
      </w:r>
    </w:p>
    <w:p>
      <w:pPr>
        <w:keepNext/>
        <w:keepLines w:val="0"/>
        <w:pageBreakBefore/>
        <w:widowControl/>
        <w:snapToGrid w:val="0"/>
        <w:spacing w:before="0" w:beforeLines="100" w:after="180" w:afterLines="30" w:line="400" w:lineRule="exact"/>
        <w:ind w:firstLine="0" w:left="0" w:right="0"/>
        <w:jc w:val="both"/>
        <w:snapToGrid w:val="0"/>
      </w:pPr>
      <w:r>
        <w:rPr>
          <w:rFonts w:ascii="Times New Roman" w:hAnsi="Times New Roman" w:eastAsia="仿宋_GB2312"/>
          <w:b/>
          <w:sz w:val="24"/>
        </w:rPr>
        <w:t>一、中期考核工作基本情况</w:t>
      </w:r>
    </w:p>
    <w:tbl>
      <w:tblPr>
        <w:tblStyle w:val="6"/>
        <w:tblW w:w="0" w:type="auto"/>
        <w:jc w:val="center"/>
        <w:tblLayout w:type="fixed"/>
        <w:tblCellMar>
          <w:top w:w="85" w:type="dxa"/>
          <w:left w:w="110" w:type="dxa"/>
          <w:bottom w:w="85" w:type="dxa"/>
          <w:right w:w="11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53"/>
        <w:gridCol w:w="7519"/>
      </w:tblGrid>
      <w:tr>
        <w:trPr>
          <w:trHeight w:val="567" w:hRule="atLeast"/>
          <w:jc w:val="center"/>
          <w:cantSplit w:val="0"/>
        </w:trPr>
        <w:tc>
          <w:tcPr>
            <w:tcW w:w="1553" w:type="dxa"/>
            <w:vAlign w:val="top"/>
          </w:tcPr>
          <w:p>
            <w:pPr>
              <w:keepNext w:val="0"/>
              <w:keepLines w:val="0"/>
              <w:pageBreakBefore w:val="0"/>
              <w:widowControl/>
              <w:snapToGrid w:val="0"/>
              <w:spacing w:before="0" w:after="0" w:line="340" w:lineRule="exact"/>
              <w:ind w:firstLine="0" w:left="0" w:right="0"/>
              <w:jc w:val="center"/>
            </w:pPr>
            <w:r>
              <w:rPr>
                <w:rFonts w:ascii="Times New Roman" w:hAnsi="Times New Roman" w:eastAsia="宋体"/>
                <w:b/>
                <w:sz w:val="21"/>
              </w:rPr>
              <w:t>开题报告题目</w:t>
            </w:r>
          </w:p>
        </w:tc>
        <w:tc>
          <w:tcPr>
            <w:tcW w:w="7519" w:type="dxa"/>
            <w:vAlign w:val="top"/>
          </w:tcPr>
          <w:p>
            <w:pPr>
              <w:keepNext w:val="0"/>
              <w:keepLines w:val="0"/>
              <w:pageBreakBefore w:val="0"/>
              <w:widowControl/>
              <w:snapToGrid w:val="0"/>
              <w:spacing w:before="0" w:after="0" w:line="340" w:lineRule="exact"/>
              <w:ind w:firstLine="0" w:left="0" w:right="0"/>
              <w:jc w:val="center"/>
            </w:pPr>
            <w:r>
              <w:rPr>
                <w:rFonts w:ascii="Times New Roman" w:hAnsi="Times New Roman" w:eastAsia="宋体"/>
                <w:b w:val="0"/>
                <w:sz w:val="21"/>
              </w:rPr>
              <w:t>面向大模型的数据与参数联合高效微调算法研究</w:t>
            </w:r>
          </w:p>
        </w:tc>
      </w:tr>
      <w:tr>
        <w:trPr>
          <w:trHeight w:val="567" w:hRule="atLeast"/>
          <w:jc w:val="center"/>
          <w:cantSplit w:val="0"/>
        </w:trPr>
        <w:tc>
          <w:tcPr>
            <w:tcW w:w="1553" w:type="dxa"/>
            <w:vAlign w:val="top"/>
          </w:tcPr>
          <w:p>
            <w:pPr>
              <w:keepNext w:val="0"/>
              <w:keepLines w:val="0"/>
              <w:pageBreakBefore w:val="0"/>
              <w:widowControl/>
              <w:snapToGrid w:val="0"/>
              <w:spacing w:before="0" w:after="0" w:line="340" w:lineRule="exact"/>
              <w:ind w:firstLine="0" w:left="0" w:right="0"/>
              <w:jc w:val="center"/>
            </w:pPr>
            <w:r>
              <w:rPr>
                <w:rFonts w:ascii="Times New Roman" w:hAnsi="Times New Roman" w:eastAsia="宋体"/>
                <w:b/>
                <w:sz w:val="21"/>
              </w:rPr>
              <w:t>文献综述题目</w:t>
            </w:r>
          </w:p>
        </w:tc>
        <w:tc>
          <w:tcPr>
            <w:tcW w:w="7519" w:type="dxa"/>
            <w:vAlign w:val="top"/>
          </w:tcPr>
          <w:p>
            <w:pPr>
              <w:keepNext w:val="0"/>
              <w:keepLines w:val="0"/>
              <w:pageBreakBefore w:val="0"/>
              <w:widowControl/>
              <w:snapToGrid w:val="0"/>
              <w:spacing w:before="0" w:after="0" w:line="340" w:lineRule="exact"/>
              <w:ind w:firstLine="0" w:left="0" w:right="0"/>
              <w:jc w:val="center"/>
            </w:pPr>
            <w:r>
              <w:rPr>
                <w:rFonts w:ascii="Times New Roman" w:hAnsi="Times New Roman" w:eastAsia="宋体"/>
                <w:b w:val="0"/>
                <w:sz w:val="21"/>
              </w:rPr>
            </w:r>
          </w:p>
        </w:tc>
      </w:tr>
      <w:tr>
        <w:trPr>
          <w:jc w:val="center"/>
          <w:cantSplit w:val="0"/>
        </w:trPr>
        <w:tc>
          <w:tcPr>
            <w:tcW w:w="9072" w:type="dxa"/>
            <w:gridSpan w:val="2"/>
            <w:vAlign w:val="top"/>
          </w:tcPr>
          <w:p>
            <w:pPr>
              <w:keepNext w:val="0"/>
              <w:keepLines w:val="0"/>
              <w:pageBreakBefore w:val="0"/>
              <w:widowControl/>
              <w:snapToGrid w:val="0"/>
              <w:spacing w:before="0" w:after="80" w:line="340" w:lineRule="exact"/>
              <w:ind w:firstLine="0" w:left="0" w:right="0"/>
              <w:jc w:val="both"/>
            </w:pPr>
            <w:r>
              <w:rPr>
                <w:rFonts w:ascii="Times New Roman" w:hAnsi="Times New Roman" w:eastAsia="宋体"/>
                <w:b/>
                <w:sz w:val="21"/>
              </w:rPr>
              <w:t>课题研究的创新点：</w:t>
            </w:r>
          </w:p>
          <w:p>
            <w:pPr>
              <w:keepNext w:val="0"/>
              <w:keepLines w:val="0"/>
              <w:pageBreakBefore w:val="0"/>
              <w:widowControl/>
              <w:snapToGrid w:val="0"/>
              <w:spacing w:before="180" w:after="100" w:line="360" w:lineRule="exact"/>
              <w:ind w:firstLine="0" w:left="0" w:right="0"/>
              <w:jc w:val="both"/>
            </w:pPr>
            <w:r>
              <w:rPr>
                <w:rFonts w:ascii="Times New Roman" w:hAnsi="Times New Roman" w:eastAsia="宋体"/>
                <w:b/>
                <w:sz w:val="21"/>
              </w:rPr>
              <w:t>1 背景及动机</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大语言模型的指令微调能够提升模型对下游任务的适应能力，但大规模候选数据和反复试验会带来较高的训练成本。参数高效微调（PEFT）通过限制可训练参数降低资源消耗，数据选择通过保留更有价值的样本减少数据开销。两类方法共同作用于训练过程：不同 PEFT 配置的更新位置、算子及容量不同，同一样本对目标任务的训练价值也可能随之变化。因而，数据选择需要同时考虑“训练什么任务”和“以何种方式更新模型”。</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现有方法难以同时兼顾目标针对性和多配置复用。基于语义相似度或共享梯度的选择方式可以复用公共计算，但未充分表达具体 PEFT 配置的差异。逐配置 LESS 为每种配置构建专属梯度数据存储，再针对各任务评分，具有较强的目标针对性，却需要在新增配置时重复支付建库成本。直接沿用已有配置选出的子集，又可能损失与新配置的匹配性。本文由此研究可复用的条件效用评分：复用样本信号和评分器，并为不同配置与任务生成各自的训练子集。</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1.1 背景动机实验</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动机实验考察同一候选样本在不同 PEFT 配置下是否具有相同效用排序。实验设计固定候选池和目标任务，分别构造各配置的短更新效用排序，以 Spearman 相关系数比较整体排序，以前 5% 样本集合的 Jaccard 重叠衡量高价值样本的一致性；同配置的独立重复用于提供噪声参照。进一步将源配置选出的子集用于其他目标配置，检查排序差异是否影响下游训练效果。</w:t>
            </w:r>
          </w:p>
          <w:tbl>
            <w:tblPr>
              <w:tblW w:type="auto" w:w="0"/>
              <w:jc w:val="center"/>
              <w:tblBorders>
                <w:top w:val="nil"/>
                <w:left w:val="nil"/>
                <w:bottom w:val="nil"/>
                <w:right w:val="nil"/>
                <w:insideH w:val="nil"/>
                <w:insideV w:val="nil"/>
              </w:tblBorders>
              <w:tblLayout w:type="fixed"/>
              <w:tblCellMar>
                <w:top w:w="30" w:type="dxa"/>
                <w:left w:w="0" w:type="dxa"/>
                <w:bottom w:w="30" w:type="dxa"/>
                <w:right w:w="0" w:type="dxa"/>
              </w:tblCellMar>
              <w:tblLook w:firstColumn="1" w:firstRow="1" w:lastColumn="0" w:lastRow="0" w:noHBand="0" w:noVBand="1" w:val="04A0"/>
            </w:tblPr>
            <w:tblGrid>
              <w:gridCol w:w="8504"/>
            </w:tblGrid>
            <w:tr>
              <w:trPr>
                <w:cantSplit/>
              </w:trPr>
              <w:tc>
                <w:tcPr>
                  <w:tcW w:type="dxa" w:w="8504"/>
                </w:tcPr>
                <w:p>
                  <w:pPr>
                    <w:keepNext/>
                    <w:keepLines/>
                    <w:pageBreakBefore w:val="0"/>
                    <w:widowControl/>
                    <w:snapToGrid w:val="0"/>
                    <w:spacing w:before="0" w:after="60" w:line="240" w:lineRule="auto"/>
                    <w:ind w:firstLine="0" w:left="0" w:right="0"/>
                    <w:jc w:val="center"/>
                  </w:pPr>
                  <w:r>
                    <w:rPr>
                      <w:rFonts w:ascii="Times New Roman" w:hAnsi="Times New Roman" w:eastAsia="宋体"/>
                      <w:b w:val="0"/>
                      <w:sz w:val="21"/>
                    </w:rPr>
                  </w:r>
                  <w:r>
                    <w:drawing>
                      <wp:inline xmlns:a="http://schemas.openxmlformats.org/drawingml/2006/main" xmlns:pic="http://schemas.openxmlformats.org/drawingml/2006/picture">
                        <wp:extent cx="5112000" cy="2161950"/>
                        <wp:docPr id="4" name="Picture 4" descr="图 1  不同 PEFT 配置的效用排序与前 5% 样本重叠"/>
                        <wp:cNvGraphicFramePr>
                          <a:graphicFrameLocks noChangeAspect="1"/>
                        </wp:cNvGraphicFramePr>
                        <a:graphic>
                          <a:graphicData uri="http://schemas.openxmlformats.org/drawingml/2006/picture">
                            <pic:pic>
                              <pic:nvPicPr>
                                <pic:cNvPr id="0" name="motivation.png"/>
                                <pic:cNvPicPr/>
                              </pic:nvPicPr>
                              <pic:blipFill>
                                <a:blip r:embed="rId11"/>
                                <a:stretch>
                                  <a:fillRect/>
                                </a:stretch>
                              </pic:blipFill>
                              <pic:spPr>
                                <a:xfrm>
                                  <a:off x="0" y="0"/>
                                  <a:ext cx="5112000" cy="2161950"/>
                                </a:xfrm>
                                <a:prstGeom prst="rect"/>
                              </pic:spPr>
                            </pic:pic>
                          </a:graphicData>
                        </a:graphic>
                      </wp:inline>
                    </w:drawing>
                  </w:r>
                </w:p>
                <w:p>
                  <w:pPr>
                    <w:keepNext w:val="0"/>
                    <w:keepLines w:val="0"/>
                    <w:pageBreakBefore w:val="0"/>
                    <w:widowControl/>
                    <w:snapToGrid w:val="0"/>
                    <w:spacing w:before="0" w:after="0" w:line="280" w:lineRule="exact"/>
                    <w:ind w:firstLine="0" w:left="0" w:right="0"/>
                    <w:jc w:val="center"/>
                  </w:pPr>
                  <w:r>
                    <w:rPr>
                      <w:rFonts w:ascii="Times New Roman" w:hAnsi="Times New Roman" w:eastAsia="宋体"/>
                      <w:b w:val="0"/>
                      <w:sz w:val="19"/>
                    </w:rPr>
                    <w:t>图 1  不同 PEFT 配置的效用排序与前 5% 样本重叠</w:t>
                  </w:r>
                </w:p>
              </w:tc>
            </w:tr>
          </w:tbl>
          <w:p>
            <w:pPr>
              <w:keepNext w:val="0"/>
              <w:keepLines w:val="0"/>
              <w:pageBreakBefore w:val="0"/>
              <w:widowControl/>
              <w:snapToGrid w:val="0"/>
              <w:spacing w:before="0" w:after="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80" w:line="280" w:lineRule="exact"/>
              <w:ind w:firstLine="0" w:left="0" w:right="0"/>
              <w:jc w:val="both"/>
            </w:pPr>
            <w:r>
              <w:rPr>
                <w:rFonts w:ascii="Times New Roman" w:hAnsi="Times New Roman" w:eastAsia="宋体"/>
                <w:b w:val="0"/>
                <w:sz w:val="18"/>
              </w:rPr>
              <w:t>注：图源为论文引言中的动机分析图；生成脚本对非对角元素统一加 0.10。</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图 1 显示的趋势是：配置结构越接近，排序与高价值样本越一致；跨家族变化则可能产生更大差异。该结果支持的研究假设是：数据价值应同时依赖目标任务和可训练子空间，复用公共计算时仍应保留配置条件。</w:t>
            </w:r>
          </w:p>
          <w:p>
            <w:pPr>
              <w:keepNext/>
              <w:keepLines w:val="0"/>
              <w:pageBreakBefore w:val="0"/>
              <w:widowControl/>
              <w:snapToGrid w:val="0"/>
              <w:spacing w:before="180" w:after="100" w:line="360" w:lineRule="exact"/>
              <w:ind w:firstLine="0" w:left="0" w:right="0"/>
              <w:jc w:val="both"/>
            </w:pPr>
            <w:r>
              <w:rPr>
                <w:rFonts w:ascii="Times New Roman" w:hAnsi="Times New Roman" w:eastAsia="宋体"/>
                <w:b/>
                <w:sz w:val="21"/>
              </w:rPr>
              <w:t>2 创新点</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（1）面向任务与参数配置的条件效用建模。将样本、PEFT 配置与任务共同作为效用预测条件，利用共享干预位点建立可比较的信号空间，并以结构化编码区分更新位置、算子、容量和训练配方，使公共信号复用与配置差异表达相结合。</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2）多保真监督驱动的统一评分器。以可缓存的位点梯度代理提供低成本排序监督，再通过少量短更新观测校正代理偏差；借助条件调制和交互建模学习样本效用与不确定性，减少重复构建目标专属选择器的成本。</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（3）兼顾效用与覆盖的目标子集构建。将保守条件评分与语义簇规模共同用于预算分配，缓解全局高分样本过于集中的问题；通过区分一次性离线成本和新增配置成本，分析多配置数据选择的摊销收益。</w:t>
            </w:r>
          </w:p>
        </w:tc>
      </w:tr>
      <w:tr>
        <w:trPr>
          <w:jc w:val="center"/>
          <w:cantSplit w:val="0"/>
        </w:trPr>
        <w:tc>
          <w:tcPr>
            <w:tcW w:w="9072" w:type="dxa"/>
            <w:gridSpan w:val="2"/>
            <w:vAlign w:val="top"/>
          </w:tcPr>
          <w:p>
            <w:pPr>
              <w:keepNext w:val="0"/>
              <w:keepLines w:val="0"/>
              <w:pageBreakBefore w:val="0"/>
              <w:widowControl/>
              <w:snapToGrid w:val="0"/>
              <w:spacing w:before="0" w:after="80" w:line="340" w:lineRule="exact"/>
              <w:ind w:firstLine="0" w:left="0" w:right="0"/>
              <w:jc w:val="both"/>
            </w:pPr>
            <w:r>
              <w:rPr>
                <w:rFonts w:ascii="Times New Roman" w:hAnsi="Times New Roman" w:eastAsia="宋体"/>
                <w:b/>
                <w:sz w:val="21"/>
              </w:rPr>
              <w:t>开题以来研究工作总结：</w:t>
            </w:r>
          </w:p>
          <w:p>
            <w:pPr>
              <w:keepNext w:val="0"/>
              <w:keepLines w:val="0"/>
              <w:pageBreakBefore w:val="0"/>
              <w:widowControl/>
              <w:snapToGrid w:val="0"/>
              <w:spacing w:before="180" w:after="100" w:line="360" w:lineRule="exact"/>
              <w:ind w:firstLine="0" w:left="0" w:right="0"/>
              <w:jc w:val="both"/>
            </w:pPr>
            <w:r>
              <w:rPr>
                <w:rFonts w:ascii="Times New Roman" w:hAnsi="Times New Roman" w:eastAsia="宋体"/>
                <w:b/>
                <w:sz w:val="21"/>
              </w:rPr>
              <w:t>1 问题定义</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 xml:space="preserve">在固定骨干模型 </w:t>
            </w:r>
            <m:oMath>
              <m:sSub>
                <m:e>
                  <m:r>
                    <m:rPr>
                      <m:sty m:val="i"/>
                    </m:rPr>
                    <w:rPr>
                      <w:rFonts w:ascii="STIX Two Math" w:hAnsi="STIX Two Math" w:eastAsia="STIX Two Math" w:cs="STIX Two Math"/>
                      <w:i w:val="1"/>
                      <w:iCs w:val="1"/>
                      <w:sz w:val="22"/>
                      <w:szCs w:val="22"/>
                    </w:rPr>
                    <m:t xml:space="preserve">M</m:t>
                  </m:r>
                </m:e>
                <m:sub>
                  <m:r>
                    <m:rPr>
                      <m:sty m:val="p"/>
                    </m:rPr>
                    <w:rPr>
                      <w:rFonts w:ascii="STIX Two Math" w:hAnsi="STIX Two Math" w:eastAsia="STIX Two Math" w:cs="STIX Two Math"/>
                      <w:i w:val="0"/>
                      <w:iCs w:val="0"/>
                      <w:sz w:val="22"/>
                      <w:szCs w:val="22"/>
                    </w:rPr>
                    <m:t xml:space="preserve">0</m:t>
                  </m:r>
                </m:sub>
              </m:sSub>
            </m:oMath>
            <w:r>
              <w:rPr>
                <w:rFonts w:ascii="Times New Roman" w:hAnsi="Times New Roman" w:eastAsia="宋体"/>
                <w:b w:val="0"/>
                <w:sz w:val="21"/>
              </w:rPr>
              <w:t xml:space="preserve"> 和候选指令数据池 D 的条件下，设 p 表示参数高效微调（PEFT）配置，包括更新位置、算子、容量与训练配方；t 表示目标任务，B 为选数预算。数据选择的理想目标是在预算内寻找子集 S，使微调后的模型在目标任务上取得较好表现：</w:t>
            </w:r>
          </w:p>
          <w:tbl>
            <w:tblPr>
              <w:tblW w:type="auto" w:w="0"/>
              <w:jc w:val="center"/>
              <w:tblBorders>
                <w:top w:val="nil"/>
                <w:left w:val="nil"/>
                <w:bottom w:val="nil"/>
                <w:right w:val="nil"/>
                <w:insideH w:val="nil"/>
                <w:insideV w:val="nil"/>
              </w:tblBorders>
              <w:tblLayout w:type="fixed"/>
              <w:tblCellMar>
                <w:top w:w="60" w:type="dxa"/>
                <w:left w:w="0" w:type="dxa"/>
                <w:bottom w:w="60" w:type="dxa"/>
                <w:right w:w="0" w:type="dxa"/>
              </w:tblCellMar>
              <w:tblLook w:firstColumn="1" w:firstRow="1" w:lastColumn="0" w:lastRow="0" w:noHBand="0" w:noVBand="1" w:val="04A0"/>
            </w:tblPr>
            <w:tblGrid>
              <w:gridCol w:w="425"/>
              <w:gridCol w:w="7654"/>
              <w:gridCol w:w="425"/>
            </w:tblGrid>
            <w:tr>
              <w:trPr>
                <w:cantSplit/>
              </w:trPr>
              <w:tc>
                <w:tcPr>
                  <w:tcW w:type="dxa" w:w="425"/>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w:p>
              </w:tc>
              <w:tc>
                <w:tcPr>
                  <w:tcW w:type="dxa" w:w="7654"/>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m:oMathPara>
                    <m:oMathParaPr>
                      <m:jc m:val="center"/>
                    </m:oMathParaPr>
                    <m:oMath>
                      <m:sSup>
                        <m:e>
                          <m:r>
                            <m:rPr>
                              <m:sty m:val="i"/>
                            </m:rPr>
                            <w:rPr>
                              <w:rFonts w:ascii="STIX Two Math" w:hAnsi="STIX Two Math" w:eastAsia="STIX Two Math" w:cs="STIX Two Math"/>
                              <w:i w:val="1"/>
                              <w:iCs w:val="1"/>
                              <w:sz w:val="22"/>
                              <w:szCs w:val="22"/>
                            </w:rPr>
                            <m:t xml:space="preserve">S</m:t>
                          </m:r>
                        </m:e>
                        <m:sup>
                          <m:r>
                            <m:rPr>
                              <m:sty m:val="p"/>
                            </m:rPr>
                            <w:rPr>
                              <w:rFonts w:ascii="STIX Two Math" w:hAnsi="STIX Two Math" w:eastAsia="STIX Two Math" w:cs="STIX Two Math"/>
                              <w:i w:val="0"/>
                              <w:iCs w:val="0"/>
                              <w:sz w:val="22"/>
                              <w:szCs w:val="22"/>
                            </w:rPr>
                            <m:t xml:space="preserve">*</m:t>
                          </m:r>
                        </m:sup>
                      </m:sSup>
                      <m:r>
                        <m:rPr>
                          <m:sty m:val="p"/>
                        </m:rPr>
                        <w:rPr>
                          <w:rFonts w:ascii="STIX Two Math" w:hAnsi="STIX Two Math" w:eastAsia="STIX Two Math" w:cs="STIX Two Math"/>
                          <w:i w:val="0"/>
                          <w:iCs w:val="0"/>
                          <w:sz w:val="22"/>
                          <w:szCs w:val="22"/>
                        </w:rPr>
                        <m:t xml:space="preserve"> = </m:t>
                      </m:r>
                      <m:func>
                        <m:fName>
                          <m:limLow>
                            <m:e>
                              <m:r>
                                <m:rPr>
                                  <m:nor/>
                                  <m:sty m:val="p"/>
                                </m:rPr>
                                <w:rPr>
                                  <w:rFonts w:ascii="STIX Two Math" w:hAnsi="STIX Two Math" w:eastAsia="STIX Two Math" w:cs="STIX Two Math"/>
                                  <w:i w:val="0"/>
                                  <w:iCs w:val="0"/>
                                  <w:sz w:val="22"/>
                                  <w:szCs w:val="22"/>
                                </w:rPr>
                                <m:t xml:space="preserve">arg max</m:t>
                              </m:r>
                            </m:e>
                            <m:lim>
                              <m:r>
                                <m:rPr>
                                  <m:sty m:val="i"/>
                                </m:rPr>
                                <w:rPr>
                                  <w:rFonts w:ascii="STIX Two Math" w:hAnsi="STIX Two Math" w:eastAsia="STIX Two Math" w:cs="STIX Two Math"/>
                                  <w:i w:val="1"/>
                                  <w:iCs w:val="1"/>
                                  <w:sz w:val="22"/>
                                  <w:szCs w:val="22"/>
                                </w:rPr>
                                <m:t xml:space="preserve">S</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D</m:t>
                              </m:r>
                              <m:r>
                                <m:rPr>
                                  <m:sty m:val="p"/>
                                </m:rPr>
                                <w:rPr>
                                  <w:rFonts w:ascii="STIX Two Math" w:hAnsi="STIX Two Math" w:eastAsia="STIX Two Math" w:cs="STIX Two Math"/>
                                  <w:i w:val="0"/>
                                  <w:iCs w:val="0"/>
                                  <w:sz w:val="22"/>
                                  <w:szCs w:val="22"/>
                                </w:rPr>
                                <m:t xml:space="preserve">, </m:t>
                              </m:r>
                              <m:d>
                                <m:dPr>
                                  <m:begChr m:val="|"/>
                                  <m:endChr m:val="|"/>
                                </m:dPr>
                                <m:e>
                                  <m:r>
                                    <m:rPr>
                                      <m:sty m:val="i"/>
                                    </m:rPr>
                                    <w:rPr>
                                      <w:rFonts w:ascii="STIX Two Math" w:hAnsi="STIX Two Math" w:eastAsia="STIX Two Math" w:cs="STIX Two Math"/>
                                      <w:i w:val="1"/>
                                      <w:iCs w:val="1"/>
                                      <w:sz w:val="22"/>
                                      <w:szCs w:val="22"/>
                                    </w:rPr>
                                    <m:t xml:space="preserve">S</m:t>
                                  </m:r>
                                </m:e>
                              </m:d>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B</m:t>
                              </m:r>
                            </m:lim>
                          </m:limLow>
                        </m:fName>
                        <m:e>
                          <m:func>
                            <m:fName>
                              <m:r>
                                <m:rPr>
                                  <m:nor/>
                                  <m:sty m:val="p"/>
                                </m:rPr>
                                <w:rPr>
                                  <w:rFonts w:ascii="STIX Two Math" w:hAnsi="STIX Two Math" w:eastAsia="STIX Two Math" w:cs="STIX Two Math"/>
                                  <w:i w:val="0"/>
                                  <w:iCs w:val="0"/>
                                  <w:sz w:val="22"/>
                                  <w:szCs w:val="22"/>
                                </w:rPr>
                                <m:t xml:space="preserve">Perf</m:t>
                              </m:r>
                            </m:fName>
                            <m:e>
                              <m:d>
                                <m:dPr>
                                  <m:begChr m:val="("/>
                                  <m:endChr m:val=")"/>
                                </m:dPr>
                                <m:e>
                                  <m:func>
                                    <m:fName>
                                      <m:r>
                                        <m:rPr>
                                          <m:nor/>
                                          <m:sty m:val="p"/>
                                        </m:rPr>
                                        <w:rPr>
                                          <w:rFonts w:ascii="STIX Two Math" w:hAnsi="STIX Two Math" w:eastAsia="STIX Two Math" w:cs="STIX Two Math"/>
                                          <w:i w:val="0"/>
                                          <w:iCs w:val="0"/>
                                          <w:sz w:val="22"/>
                                          <w:szCs w:val="22"/>
                                        </w:rPr>
                                        <m:t xml:space="preserve">Tune</m:t>
                                      </m:r>
                                    </m:fName>
                                    <m:e>
                                      <m:d>
                                        <m:dPr>
                                          <m:begChr m:val="("/>
                                          <m:endChr m:val=")"/>
                                        </m:dPr>
                                        <m:e>
                                          <m:sSub>
                                            <m:e>
                                              <m:r>
                                                <m:rPr>
                                                  <m:sty m:val="i"/>
                                                </m:rPr>
                                                <w:rPr>
                                                  <w:rFonts w:ascii="STIX Two Math" w:hAnsi="STIX Two Math" w:eastAsia="STIX Two Math" w:cs="STIX Two Math"/>
                                                  <w:i w:val="1"/>
                                                  <w:iCs w:val="1"/>
                                                  <w:sz w:val="22"/>
                                                  <w:szCs w:val="22"/>
                                                </w:rPr>
                                                <m:t xml:space="preserve">M</m:t>
                                              </m:r>
                                            </m:e>
                                            <m:sub>
                                              <m:r>
                                                <m:rPr>
                                                  <m:sty m:val="p"/>
                                                </m:rPr>
                                                <w:rPr>
                                                  <w:rFonts w:ascii="STIX Two Math" w:hAnsi="STIX Two Math" w:eastAsia="STIX Two Math" w:cs="STIX Two Math"/>
                                                  <w:i w:val="0"/>
                                                  <w:iCs w:val="0"/>
                                                  <w:sz w:val="22"/>
                                                  <w:szCs w:val="22"/>
                                                </w:rPr>
                                                <m:t xml:space="preserve">0</m:t>
                                              </m:r>
                                            </m:sub>
                                          </m:sSub>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p</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S</m:t>
                                          </m:r>
                                        </m:e>
                                      </m:d>
                                    </m:e>
                                  </m:func>
                                  <m:r>
                                    <m:rPr>
                                      <m:sty m:val="p"/>
                                    </m:rPr>
                                    <w:rPr>
                                      <w:rFonts w:ascii="STIX Two Math" w:hAnsi="STIX Two Math" w:eastAsia="STIX Two Math" w:cs="STIX Two Math"/>
                                      <w:i w:val="0"/>
                                      <w:iCs w:val="0"/>
                                      <w:sz w:val="22"/>
                                      <w:szCs w:val="22"/>
                                    </w:rPr>
                                    <m:t xml:space="preserve">,</m:t>
                                  </m:r>
                                  <m:sSubSup>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t</m:t>
                                      </m:r>
                                    </m:sub>
                                    <m:sup>
                                      <m:r>
                                        <m:rPr>
                                          <m:nor/>
                                          <m:sty m:val="p"/>
                                        </m:rPr>
                                        <w:rPr>
                                          <w:rFonts w:ascii="STIX Two Math" w:hAnsi="STIX Two Math" w:eastAsia="STIX Two Math" w:cs="STIX Two Math"/>
                                          <w:i w:val="0"/>
                                          <w:iCs w:val="0"/>
                                          <w:sz w:val="22"/>
                                          <w:szCs w:val="22"/>
                                        </w:rPr>
                                        <m:t xml:space="preserve">test</m:t>
                                      </m:r>
                                    </m:sup>
                                  </m:sSubSup>
                                </m:e>
                              </m:d>
                            </m:e>
                          </m:func>
                        </m:e>
                      </m:func>
                    </m:oMath>
                  </m:oMathPara>
                </w:p>
              </w:tc>
              <w:tc>
                <w:tcPr>
                  <w:tcW w:type="dxa" w:w="425"/>
                  <w:vAlign w:val="center"/>
                </w:tcPr>
                <w:p>
                  <w:pPr>
                    <w:keepNext w:val="0"/>
                    <w:keepLines/>
                    <w:pageBreakBefore w:val="0"/>
                    <w:widowControl/>
                    <w:snapToGrid w:val="0"/>
                    <w:spacing w:before="0" w:after="0" w:line="276" w:lineRule="auto"/>
                    <w:ind w:firstLine="0" w:left="0" w:right="0"/>
                    <w:jc w:val="right"/>
                  </w:pPr>
                  <w:r>
                    <w:rPr>
                      <w:rFonts w:ascii="Times New Roman" w:hAnsi="Times New Roman" w:eastAsia="宋体"/>
                      <w:b w:val="0"/>
                      <w:sz w:val="21"/>
                    </w:rPr>
                  </w:r>
                  <w:r>
                    <w:rPr>
                      <w:rFonts w:ascii="Times New Roman" w:hAnsi="Times New Roman" w:eastAsia="宋体"/>
                      <w:b w:val="0"/>
                      <w:sz w:val="21"/>
                    </w:rPr>
                    <w:t>(1)</w:t>
                  </w:r>
                </w:p>
              </w:tc>
            </w:tr>
          </w:tbl>
          <w:p>
            <w:pPr>
              <w:keepNext w:val="0"/>
              <w:keepLines w:val="0"/>
              <w:pageBreakBefore w:val="0"/>
              <w:widowControl/>
              <w:snapToGrid w:val="0"/>
              <w:spacing w:before="0" w:after="4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 xml:space="preserve">其中，Tune 表示按配置 p 执行微调，Perf 表示任务评价指标。测试集仅用于定义目标和最终评测，不参与训练、评分或选数。实际选择使用来自训练或开发数据的任务摘要 </w:t>
            </w:r>
            <m:oMath>
              <m:sSub>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t</m:t>
                  </m:r>
                </m:sub>
              </m:sSub>
            </m:oMath>
            <w:r>
              <w:rPr>
                <w:rFonts w:ascii="Times New Roman" w:hAnsi="Times New Roman" w:eastAsia="宋体"/>
                <w:b w:val="0"/>
                <w:sz w:val="21"/>
              </w:rPr>
              <w:t xml:space="preserve">。由于逐一训练候选子集不可行，本文以条件效用 u(x,p,t) 近似描述样本 x 对任务 t 在配置 p 下的训练价值，并学习可复用评分器预测这一效用。与统一排序相比，显式引入 p 允许样本排序随可训练子空间变化；与逐配置构建梯度数据存储相比，共享表征和评分器将主要建模成本集中到离线阶段。研究目标是在保留目标针对性的同时，降低多配置服务的累计选择成本。</w:t>
            </w:r>
          </w:p>
          <w:p>
            <w:pPr>
              <w:keepNext/>
              <w:keepLines w:val="0"/>
              <w:pageBreakBefore w:val="0"/>
              <w:widowControl/>
              <w:snapToGrid w:val="0"/>
              <w:spacing w:before="180" w:after="100" w:line="360" w:lineRule="exact"/>
              <w:ind w:firstLine="0" w:left="0" w:right="0"/>
              <w:jc w:val="both"/>
            </w:pPr>
            <w:r>
              <w:rPr>
                <w:rFonts w:ascii="Times New Roman" w:hAnsi="Times New Roman" w:eastAsia="宋体"/>
                <w:b/>
                <w:sz w:val="21"/>
              </w:rPr>
              <w:t>2 方法</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2.1 总体框架</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PCU-Select 由离线建模和在线选择组成。离线阶段提取可复用的样本及任务信号，建立 PEFT 结构化编码，通过多保真标签训练统一条件评分器。在线阶段输入目标配置与任务，结合缓存特征得到候选样本分数，再依据语义聚类分配预算，输出该目标对应的训练子集。框架共享公共计算，但每个配置—任务组合仍具有自己的排序、配额和选择结果。</w:t>
            </w:r>
          </w:p>
          <w:tbl>
            <w:tblPr>
              <w:tblW w:type="auto" w:w="0"/>
              <w:jc w:val="center"/>
              <w:tblBorders>
                <w:top w:val="nil"/>
                <w:left w:val="nil"/>
                <w:bottom w:val="nil"/>
                <w:right w:val="nil"/>
                <w:insideH w:val="nil"/>
                <w:insideV w:val="nil"/>
              </w:tblBorders>
              <w:tblLayout w:type="fixed"/>
              <w:tblCellMar>
                <w:top w:w="30" w:type="dxa"/>
                <w:left w:w="0" w:type="dxa"/>
                <w:bottom w:w="30" w:type="dxa"/>
                <w:right w:w="0" w:type="dxa"/>
              </w:tblCellMar>
              <w:tblLook w:firstColumn="1" w:firstRow="1" w:lastColumn="0" w:lastRow="0" w:noHBand="0" w:noVBand="1" w:val="04A0"/>
            </w:tblPr>
            <w:tblGrid>
              <w:gridCol w:w="8504"/>
            </w:tblGrid>
            <w:tr>
              <w:trPr>
                <w:cantSplit/>
              </w:trPr>
              <w:tc>
                <w:tcPr>
                  <w:tcW w:type="dxa" w:w="8504"/>
                </w:tcPr>
                <w:p>
                  <w:pPr>
                    <w:keepNext/>
                    <w:keepLines/>
                    <w:pageBreakBefore w:val="0"/>
                    <w:widowControl/>
                    <w:snapToGrid w:val="0"/>
                    <w:spacing w:before="0" w:after="60" w:line="240" w:lineRule="auto"/>
                    <w:ind w:firstLine="0" w:left="0" w:right="0"/>
                    <w:jc w:val="center"/>
                  </w:pPr>
                  <w:r>
                    <w:rPr>
                      <w:rFonts w:ascii="Times New Roman" w:hAnsi="Times New Roman" w:eastAsia="宋体"/>
                      <w:b w:val="0"/>
                      <w:sz w:val="21"/>
                    </w:rPr>
                  </w:r>
                  <w:r>
                    <w:drawing>
                      <wp:inline xmlns:a="http://schemas.openxmlformats.org/drawingml/2006/main" xmlns:pic="http://schemas.openxmlformats.org/drawingml/2006/picture">
                        <wp:extent cx="5112000" cy="2403674"/>
                        <wp:docPr id="5" name="Picture 5" descr="图 2  PCU-Select 总体架构：共享信号提取、多保真效用学习与目标条件化选择"/>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112000" cy="2403674"/>
                                </a:xfrm>
                                <a:prstGeom prst="rect"/>
                              </pic:spPr>
                            </pic:pic>
                          </a:graphicData>
                        </a:graphic>
                      </wp:inline>
                    </w:drawing>
                  </w:r>
                </w:p>
                <w:p>
                  <w:pPr>
                    <w:keepNext w:val="0"/>
                    <w:keepLines w:val="0"/>
                    <w:pageBreakBefore w:val="0"/>
                    <w:widowControl/>
                    <w:snapToGrid w:val="0"/>
                    <w:spacing w:before="0" w:after="0" w:line="280" w:lineRule="exact"/>
                    <w:ind w:firstLine="0" w:left="0" w:right="0"/>
                    <w:jc w:val="center"/>
                  </w:pPr>
                  <w:r>
                    <w:rPr>
                      <w:rFonts w:ascii="Times New Roman" w:hAnsi="Times New Roman" w:eastAsia="宋体"/>
                      <w:b w:val="0"/>
                      <w:sz w:val="19"/>
                    </w:rPr>
                    <w:t>图 2  PCU-Select 总体架构：共享信号提取、多保真效用学习与目标条件化选择</w:t>
                  </w:r>
                </w:p>
              </w:tc>
            </w:tr>
          </w:tbl>
          <w:p>
            <w:pPr>
              <w:keepNext w:val="0"/>
              <w:keepLines w:val="0"/>
              <w:pageBreakBefore w:val="0"/>
              <w:widowControl/>
              <w:snapToGrid w:val="0"/>
              <w:spacing w:before="0" w:after="0" w:line="40" w:lineRule="exact"/>
              <w:ind w:firstLine="0" w:left="0" w:right="0"/>
              <w:jc w:val="both"/>
            </w:pPr>
            <w:r>
              <w:rPr>
                <w:rFonts w:ascii="Times New Roman" w:hAnsi="Times New Roman" w:eastAsia="宋体"/>
                <w:b w:val="0"/>
                <w:sz w:val="2"/>
              </w:rPr>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2.2 共享干预位点与结构化表征</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不同 PEFT 方法的参数梯度形状及作用方式不同，难以直接共用梯度缓存。本文在八个均匀采样的 Transformer 层上选取注意力、前馈网络和残差输出，构成 24 个共享干预位点。借助链式法则，模型更新对损失的影响可经由相应模块输出传递，因此采用这些位点上的响应损失梯度描述样本和任务信号，并将不同配置映射到其作用位点。位点索引表示“在哪里更新”，结构化编码进一步描述“如何更新”及更新容量，使共享坐标不等同于将不同算子视为等价。</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评分器使用三类定长输入。848 维样本向量由 768 维冻结语义嵌入、16 维长度与损失等统计特征、64 维隐藏状态摘要组成。任务向量对任务摘要中 32 个示例的样本表征求均值；用于构造监督的任务位点梯度另行保存。128 维 PEFT 向量包含 96 维位点及算子编码，以及各 16 维的容量、训练配方编码。这种分解兼顾公共信号复用与配置差异，条件评分不依赖简单的家族名称查表。</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2.3 多保真效用监督</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逐样本完整微调的监督成本过高，因此本文联合低成本梯度代理与少量短更新观测。低保真标签衡量样本梯度和任务梯度在目标配置有效位点上的方向一致性：</w:t>
            </w:r>
          </w:p>
          <w:tbl>
            <w:tblPr>
              <w:tblW w:type="auto" w:w="0"/>
              <w:jc w:val="center"/>
              <w:tblBorders>
                <w:top w:val="nil"/>
                <w:left w:val="nil"/>
                <w:bottom w:val="nil"/>
                <w:right w:val="nil"/>
                <w:insideH w:val="nil"/>
                <w:insideV w:val="nil"/>
              </w:tblBorders>
              <w:tblLayout w:type="fixed"/>
              <w:tblCellMar>
                <w:top w:w="60" w:type="dxa"/>
                <w:left w:w="0" w:type="dxa"/>
                <w:bottom w:w="60" w:type="dxa"/>
                <w:right w:w="0" w:type="dxa"/>
              </w:tblCellMar>
              <w:tblLook w:firstColumn="1" w:firstRow="1" w:lastColumn="0" w:lastRow="0" w:noHBand="0" w:noVBand="1" w:val="04A0"/>
            </w:tblPr>
            <w:tblGrid>
              <w:gridCol w:w="425"/>
              <w:gridCol w:w="7654"/>
              <w:gridCol w:w="425"/>
            </w:tblGrid>
            <w:tr>
              <w:trPr>
                <w:cantSplit/>
              </w:trPr>
              <w:tc>
                <w:tcPr>
                  <w:tcW w:type="dxa" w:w="425"/>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w:p>
              </w:tc>
              <w:tc>
                <w:tcPr>
                  <w:tcW w:type="dxa" w:w="7654"/>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m:oMathPara>
                    <m:oMathParaPr>
                      <m:jc m:val="center"/>
                    </m:oMathParaPr>
                    <m:oMath>
                      <m:sSup>
                        <m:e>
                          <m:r>
                            <m:rPr>
                              <m:sty m:val="i"/>
                            </m:rPr>
                            <w:rPr>
                              <w:rFonts w:ascii="STIX Two Math" w:hAnsi="STIX Two Math" w:eastAsia="STIX Two Math" w:cs="STIX Two Math"/>
                              <w:i w:val="1"/>
                              <w:iCs w:val="1"/>
                              <w:sz w:val="22"/>
                              <w:szCs w:val="22"/>
                            </w:rPr>
                            <m:t xml:space="preserve">u</m:t>
                          </m:r>
                        </m:e>
                        <m:sup>
                          <m:r>
                            <m:rPr>
                              <m:nor/>
                              <m:sty m:val="p"/>
                            </m:rPr>
                            <w:rPr>
                              <w:rFonts w:ascii="STIX Two Math" w:hAnsi="STIX Two Math" w:eastAsia="STIX Two Math" w:cs="STIX Two Math"/>
                              <w:i w:val="0"/>
                              <w:iCs w:val="0"/>
                              <w:sz w:val="22"/>
                              <w:szCs w:val="22"/>
                            </w:rPr>
                            <m:t xml:space="preserve">lo</m:t>
                          </m:r>
                        </m:sup>
                      </m:sSup>
                      <m:d>
                        <m:dPr>
                          <m:begChr m:val="("/>
                          <m:endChr m:val=")"/>
                        </m:dPr>
                        <m:e>
                          <m:r>
                            <m:rPr>
                              <m:sty m:val="i"/>
                            </m:rPr>
                            <w:rPr>
                              <w:rFonts w:ascii="STIX Two Math" w:hAnsi="STIX Two Math" w:eastAsia="STIX Two Math" w:cs="STIX Two Math"/>
                              <w:i w:val="1"/>
                              <w:iCs w:val="1"/>
                              <w:sz w:val="22"/>
                              <w:szCs w:val="22"/>
                            </w:rPr>
                            <m:t xml:space="preserve">x</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p</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t</m:t>
                          </m:r>
                        </m:e>
                      </m:d>
                      <m:r>
                        <m:rPr>
                          <m:sty m:val="p"/>
                        </m:rPr>
                        <w:rPr>
                          <w:rFonts w:ascii="STIX Two Math" w:hAnsi="STIX Two Math" w:eastAsia="STIX Two Math" w:cs="STIX Two Math"/>
                          <w:i w:val="0"/>
                          <w:iCs w:val="0"/>
                          <w:sz w:val="22"/>
                          <w:szCs w:val="22"/>
                        </w:rPr>
                        <m:t xml:space="preserve"> = </m:t>
                      </m:r>
                      <m:nary>
                        <m:naryPr>
                          <m:chr m:val="∑"/>
                          <m:limLoc m:val="subSup"/>
                          <m:supHide m:val="1"/>
                        </m:naryPr>
                        <m:sub>
                          <m:r>
                            <m:rPr>
                              <m:sty m:val="i"/>
                            </m:rPr>
                            <w:rPr>
                              <w:rFonts w:ascii="STIX Two Math" w:hAnsi="STIX Two Math" w:eastAsia="STIX Two Math" w:cs="STIX Two Math"/>
                              <w:i w:val="1"/>
                              <w:iCs w:val="1"/>
                              <w:sz w:val="22"/>
                              <w:szCs w:val="22"/>
                            </w:rPr>
                            <m:t xml:space="preserve">ω</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Ω</m:t>
                          </m:r>
                        </m:sub>
                        <m:sup/>
                        <m:e>
                          <m:sSubSup>
                            <m:e>
                              <m:acc>
                                <m:accPr>
                                  <m:chr m:val="̃"/>
                                </m:accPr>
                                <m:e>
                                  <m:r>
                                    <m:rPr>
                                      <m:sty m:val="i"/>
                                    </m:rPr>
                                    <w:rPr>
                                      <w:rFonts w:ascii="STIX Two Math" w:hAnsi="STIX Two Math" w:eastAsia="STIX Two Math" w:cs="STIX Two Math"/>
                                      <w:i w:val="1"/>
                                      <w:iCs w:val="1"/>
                                      <w:sz w:val="22"/>
                                      <w:szCs w:val="22"/>
                                    </w:rPr>
                                    <m:t xml:space="preserve">w</m:t>
                                  </m:r>
                                </m:e>
                              </m:acc>
                            </m:e>
                            <m:sub>
                              <m:r>
                                <m:rPr>
                                  <m:sty m:val="i"/>
                                </m:rPr>
                                <w:rPr>
                                  <w:rFonts w:ascii="STIX Two Math" w:hAnsi="STIX Two Math" w:eastAsia="STIX Two Math" w:cs="STIX Two Math"/>
                                  <w:i w:val="1"/>
                                  <w:iCs w:val="1"/>
                                  <w:sz w:val="22"/>
                                  <w:szCs w:val="22"/>
                                </w:rPr>
                                <m:t xml:space="preserve">p</m:t>
                              </m:r>
                            </m:sub>
                            <m:sup>
                              <m:r>
                                <m:rPr>
                                  <m:sty m:val="i"/>
                                </m:rPr>
                                <w:rPr>
                                  <w:rFonts w:ascii="STIX Two Math" w:hAnsi="STIX Two Math" w:eastAsia="STIX Two Math" w:cs="STIX Two Math"/>
                                  <w:i w:val="1"/>
                                  <w:iCs w:val="1"/>
                                  <w:sz w:val="22"/>
                                  <w:szCs w:val="22"/>
                                </w:rPr>
                                <m:t xml:space="preserve">ω</m:t>
                              </m:r>
                            </m:sup>
                          </m:sSubSup>
                          <m:func>
                            <m:fName>
                              <m:r>
                                <m:rPr>
                                  <m:nor/>
                                  <m:sty m:val="p"/>
                                </m:rPr>
                                <w:rPr>
                                  <w:rFonts w:ascii="STIX Two Math" w:hAnsi="STIX Two Math" w:eastAsia="STIX Two Math" w:cs="STIX Two Math"/>
                                  <w:i w:val="0"/>
                                  <w:iCs w:val="0"/>
                                  <w:sz w:val="22"/>
                                  <w:szCs w:val="22"/>
                                </w:rPr>
                                <m:t xml:space="preserve">cos</m:t>
                              </m:r>
                            </m:fName>
                            <m:e>
                              <m:d>
                                <m:dPr>
                                  <m:begChr m:val="("/>
                                  <m:endChr m:val=")"/>
                                </m:dPr>
                                <m:e>
                                  <m:sSubSup>
                                    <m:e>
                                      <m:r>
                                        <m:rPr>
                                          <m:sty m:val="i"/>
                                        </m:rPr>
                                        <w:rPr>
                                          <w:rFonts w:ascii="STIX Two Math" w:hAnsi="STIX Two Math" w:eastAsia="STIX Two Math" w:cs="STIX Two Math"/>
                                          <w:i w:val="1"/>
                                          <w:iCs w:val="1"/>
                                          <w:sz w:val="22"/>
                                          <w:szCs w:val="22"/>
                                        </w:rPr>
                                        <m:t xml:space="preserve">g</m:t>
                                      </m:r>
                                    </m:e>
                                    <m:sub>
                                      <m:r>
                                        <m:rPr>
                                          <m:sty m:val="i"/>
                                        </m:rPr>
                                        <w:rPr>
                                          <w:rFonts w:ascii="STIX Two Math" w:hAnsi="STIX Two Math" w:eastAsia="STIX Two Math" w:cs="STIX Two Math"/>
                                          <w:i w:val="1"/>
                                          <w:iCs w:val="1"/>
                                          <w:sz w:val="22"/>
                                          <w:szCs w:val="22"/>
                                        </w:rPr>
                                        <m:t xml:space="preserve">x</m:t>
                                      </m:r>
                                    </m:sub>
                                    <m:sup>
                                      <m:r>
                                        <m:rPr>
                                          <m:sty m:val="i"/>
                                        </m:rPr>
                                        <w:rPr>
                                          <w:rFonts w:ascii="STIX Two Math" w:hAnsi="STIX Two Math" w:eastAsia="STIX Two Math" w:cs="STIX Two Math"/>
                                          <w:i w:val="1"/>
                                          <w:iCs w:val="1"/>
                                          <w:sz w:val="22"/>
                                          <w:szCs w:val="22"/>
                                        </w:rPr>
                                        <m:t xml:space="preserve">ω</m:t>
                                      </m:r>
                                    </m:sup>
                                  </m:sSubSup>
                                  <m:r>
                                    <m:rPr>
                                      <m:sty m:val="p"/>
                                    </m:rPr>
                                    <w:rPr>
                                      <w:rFonts w:ascii="STIX Two Math" w:hAnsi="STIX Two Math" w:eastAsia="STIX Two Math" w:cs="STIX Two Math"/>
                                      <w:i w:val="0"/>
                                      <w:iCs w:val="0"/>
                                      <w:sz w:val="22"/>
                                      <w:szCs w:val="22"/>
                                    </w:rPr>
                                    <m:t xml:space="preserve">,</m:t>
                                  </m:r>
                                  <m:sSubSup>
                                    <m:e>
                                      <m:r>
                                        <m:rPr>
                                          <m:sty m:val="i"/>
                                        </m:rPr>
                                        <w:rPr>
                                          <w:rFonts w:ascii="STIX Two Math" w:hAnsi="STIX Two Math" w:eastAsia="STIX Two Math" w:cs="STIX Two Math"/>
                                          <w:i w:val="1"/>
                                          <w:iCs w:val="1"/>
                                          <w:sz w:val="22"/>
                                          <w:szCs w:val="22"/>
                                        </w:rPr>
                                        <m:t xml:space="preserve">g</m:t>
                                      </m:r>
                                    </m:e>
                                    <m:sub>
                                      <m:r>
                                        <m:rPr>
                                          <m:sty m:val="i"/>
                                        </m:rPr>
                                        <w:rPr>
                                          <w:rFonts w:ascii="STIX Two Math" w:hAnsi="STIX Two Math" w:eastAsia="STIX Two Math" w:cs="STIX Two Math"/>
                                          <w:i w:val="1"/>
                                          <w:iCs w:val="1"/>
                                          <w:sz w:val="22"/>
                                          <w:szCs w:val="22"/>
                                        </w:rPr>
                                        <m:t xml:space="preserve">t</m:t>
                                      </m:r>
                                    </m:sub>
                                    <m:sup>
                                      <m:r>
                                        <m:rPr>
                                          <m:sty m:val="i"/>
                                        </m:rPr>
                                        <w:rPr>
                                          <w:rFonts w:ascii="STIX Two Math" w:hAnsi="STIX Two Math" w:eastAsia="STIX Two Math" w:cs="STIX Two Math"/>
                                          <w:i w:val="1"/>
                                          <w:iCs w:val="1"/>
                                          <w:sz w:val="22"/>
                                          <w:szCs w:val="22"/>
                                        </w:rPr>
                                        <m:t xml:space="preserve">ω</m:t>
                                      </m:r>
                                    </m:sup>
                                  </m:sSubSup>
                                </m:e>
                              </m:d>
                            </m:e>
                          </m:func>
                        </m:e>
                      </m:nary>
                    </m:oMath>
                  </m:oMathPara>
                </w:p>
              </w:tc>
              <w:tc>
                <w:tcPr>
                  <w:tcW w:type="dxa" w:w="425"/>
                  <w:vAlign w:val="center"/>
                </w:tcPr>
                <w:p>
                  <w:pPr>
                    <w:keepNext w:val="0"/>
                    <w:keepLines/>
                    <w:pageBreakBefore w:val="0"/>
                    <w:widowControl/>
                    <w:snapToGrid w:val="0"/>
                    <w:spacing w:before="0" w:after="0" w:line="276" w:lineRule="auto"/>
                    <w:ind w:firstLine="0" w:left="0" w:right="0"/>
                    <w:jc w:val="right"/>
                  </w:pPr>
                  <w:r>
                    <w:rPr>
                      <w:rFonts w:ascii="Times New Roman" w:hAnsi="Times New Roman" w:eastAsia="宋体"/>
                      <w:b w:val="0"/>
                      <w:sz w:val="21"/>
                    </w:rPr>
                  </w:r>
                  <w:r>
                    <w:rPr>
                      <w:rFonts w:ascii="Times New Roman" w:hAnsi="Times New Roman" w:eastAsia="宋体"/>
                      <w:b w:val="0"/>
                      <w:sz w:val="21"/>
                    </w:rPr>
                    <w:t>(2)</w:t>
                  </w:r>
                </w:p>
              </w:tc>
            </w:tr>
          </w:tbl>
          <w:p>
            <w:pPr>
              <w:keepNext w:val="0"/>
              <w:keepLines w:val="0"/>
              <w:pageBreakBefore w:val="0"/>
              <w:widowControl/>
              <w:snapToGrid w:val="0"/>
              <w:spacing w:before="0" w:after="4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其中，g 表示经随机投影压缩至 256 维并归一化的位点梯度，权重由配置的有效位点和容量确定。代理值在相同配置与任务条件内进行排序归一化。样本梯度签名只需提取一次，即可为多个目标组合提供监督。</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高保真标签直接观察短更新引起的任务摘要损失下降：</w:t>
            </w:r>
          </w:p>
          <w:tbl>
            <w:tblPr>
              <w:tblW w:type="auto" w:w="0"/>
              <w:jc w:val="center"/>
              <w:tblBorders>
                <w:top w:val="nil"/>
                <w:left w:val="nil"/>
                <w:bottom w:val="nil"/>
                <w:right w:val="nil"/>
                <w:insideH w:val="nil"/>
                <w:insideV w:val="nil"/>
              </w:tblBorders>
              <w:tblLayout w:type="fixed"/>
              <w:tblCellMar>
                <w:top w:w="60" w:type="dxa"/>
                <w:left w:w="0" w:type="dxa"/>
                <w:bottom w:w="60" w:type="dxa"/>
                <w:right w:w="0" w:type="dxa"/>
              </w:tblCellMar>
              <w:tblLook w:firstColumn="1" w:firstRow="1" w:lastColumn="0" w:lastRow="0" w:noHBand="0" w:noVBand="1" w:val="04A0"/>
            </w:tblPr>
            <w:tblGrid>
              <w:gridCol w:w="425"/>
              <w:gridCol w:w="7654"/>
              <w:gridCol w:w="425"/>
            </w:tblGrid>
            <w:tr>
              <w:trPr>
                <w:cantSplit/>
              </w:trPr>
              <w:tc>
                <w:tcPr>
                  <w:tcW w:type="dxa" w:w="425"/>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w:p>
              </w:tc>
              <w:tc>
                <w:tcPr>
                  <w:tcW w:type="dxa" w:w="7654"/>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m:oMathPara>
                    <m:oMathParaPr>
                      <m:jc m:val="center"/>
                    </m:oMathParaPr>
                    <m:oMath>
                      <m:r>
                        <m:rPr>
                          <m:sty m:val="i"/>
                        </m:rPr>
                        <w:rPr>
                          <w:rFonts w:ascii="STIX Two Math" w:hAnsi="STIX Two Math" w:eastAsia="STIX Two Math" w:cs="STIX Two Math"/>
                          <w:i w:val="1"/>
                          <w:iCs w:val="1"/>
                          <w:sz w:val="22"/>
                          <w:szCs w:val="22"/>
                        </w:rPr>
                        <m:t xml:space="preserve">Δ</m:t>
                      </m:r>
                      <m:d>
                        <m:dPr>
                          <m:begChr m:val="("/>
                          <m:endChr m:val=")"/>
                        </m:dPr>
                        <m:e>
                          <m:r>
                            <m:rPr>
                              <m:sty m:val="i"/>
                            </m:rPr>
                            <w:rPr>
                              <w:rFonts w:ascii="STIX Two Math" w:hAnsi="STIX Two Math" w:eastAsia="STIX Two Math" w:cs="STIX Two Math"/>
                              <w:i w:val="1"/>
                              <w:iCs w:val="1"/>
                              <w:sz w:val="22"/>
                              <w:szCs w:val="22"/>
                            </w:rPr>
                            <m:t xml:space="preserve">x</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p</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t</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a</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h</m:t>
                          </m:r>
                        </m:e>
                      </m:d>
                      <m:r>
                        <m:rPr>
                          <m:sty m:val="p"/>
                        </m:rPr>
                        <w:rPr>
                          <w:rFonts w:ascii="STIX Two Math" w:hAnsi="STIX Two Math" w:eastAsia="STIX Two Math" w:cs="STIX Two Math"/>
                          <w:i w:val="0"/>
                          <w:iCs w:val="0"/>
                          <w:sz w:val="22"/>
                          <w:szCs w:val="22"/>
                        </w:rPr>
                        <m:t xml:space="preserve"> = </m:t>
                      </m:r>
                      <m:sSub>
                        <m:e>
                          <m:r>
                            <m:rPr>
                              <m:sty m:val="i"/>
                            </m:rPr>
                            <w:rPr>
                              <w:rFonts w:ascii="STIX Two Math" w:hAnsi="STIX Two Math" w:eastAsia="STIX Two Math" w:cs="STIX Two Math"/>
                              <w:i w:val="1"/>
                              <w:iCs w:val="1"/>
                              <w:sz w:val="22"/>
                              <w:szCs w:val="22"/>
                            </w:rPr>
                            <m:t xml:space="preserve">L</m:t>
                          </m:r>
                        </m:e>
                        <m:sub>
                          <m:sSub>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t</m:t>
                              </m:r>
                            </m:sub>
                          </m:sSub>
                        </m:sub>
                      </m:sSub>
                      <m:d>
                        <m:dPr>
                          <m:begChr m:val="("/>
                          <m:endChr m:val=")"/>
                        </m:dPr>
                        <m:e>
                          <m:sSub>
                            <m:e>
                              <m:r>
                                <m:rPr>
                                  <m:sty m:val="i"/>
                                </m:rPr>
                                <w:rPr>
                                  <w:rFonts w:ascii="STIX Two Math" w:hAnsi="STIX Two Math" w:eastAsia="STIX Two Math" w:cs="STIX Two Math"/>
                                  <w:i w:val="1"/>
                                  <w:iCs w:val="1"/>
                                  <w:sz w:val="22"/>
                                  <w:szCs w:val="22"/>
                                </w:rPr>
                                <m:t xml:space="preserve">θ</m:t>
                              </m:r>
                            </m:e>
                            <m:sub>
                              <m:r>
                                <m:rPr>
                                  <m:sty m:val="i"/>
                                </m:rPr>
                                <w:rPr>
                                  <w:rFonts w:ascii="STIX Two Math" w:hAnsi="STIX Two Math" w:eastAsia="STIX Two Math" w:cs="STIX Two Math"/>
                                  <w:i w:val="1"/>
                                  <w:iCs w:val="1"/>
                                  <w:sz w:val="22"/>
                                  <w:szCs w:val="22"/>
                                </w:rPr>
                                <m:t xml:space="preserve">a</m:t>
                              </m:r>
                            </m:sub>
                          </m:sSub>
                        </m:e>
                      </m:d>
                      <m:r>
                        <m:rPr>
                          <m:sty m:val="p"/>
                        </m:rPr>
                        <w:rPr>
                          <w:rFonts w:ascii="STIX Two Math" w:hAnsi="STIX Two Math" w:eastAsia="STIX Two Math" w:cs="STIX Two Math"/>
                          <w:i w:val="0"/>
                          <w:iCs w:val="0"/>
                          <w:sz w:val="22"/>
                          <w:szCs w:val="22"/>
                        </w:rPr>
                        <m:t xml:space="preserve"> − </m:t>
                      </m:r>
                      <m:sSub>
                        <m:e>
                          <m:r>
                            <m:rPr>
                              <m:sty m:val="i"/>
                            </m:rPr>
                            <w:rPr>
                              <w:rFonts w:ascii="STIX Two Math" w:hAnsi="STIX Two Math" w:eastAsia="STIX Two Math" w:cs="STIX Two Math"/>
                              <w:i w:val="1"/>
                              <w:iCs w:val="1"/>
                              <w:sz w:val="22"/>
                              <w:szCs w:val="22"/>
                            </w:rPr>
                            <m:t xml:space="preserve">L</m:t>
                          </m:r>
                        </m:e>
                        <m:sub>
                          <m:sSub>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t</m:t>
                              </m:r>
                            </m:sub>
                          </m:sSub>
                        </m:sub>
                      </m:sSub>
                      <m:d>
                        <m:dPr>
                          <m:begChr m:val="("/>
                          <m:endChr m:val=")"/>
                        </m:dPr>
                        <m:e>
                          <m:func>
                            <m:fName>
                              <m:sSubSup>
                                <m:e>
                                  <m:r>
                                    <m:rPr>
                                      <m:nor/>
                                      <m:sty m:val="p"/>
                                    </m:rPr>
                                    <w:rPr>
                                      <w:rFonts w:ascii="STIX Two Math" w:hAnsi="STIX Two Math" w:eastAsia="STIX Two Math" w:cs="STIX Two Math"/>
                                      <w:i w:val="0"/>
                                      <w:iCs w:val="0"/>
                                      <w:sz w:val="22"/>
                                      <w:szCs w:val="22"/>
                                    </w:rPr>
                                    <m:t xml:space="preserve">Adapt</m:t>
                                  </m:r>
                                </m:e>
                                <m:sub>
                                  <m:r>
                                    <m:rPr>
                                      <m:sty m:val="i"/>
                                    </m:rPr>
                                    <w:rPr>
                                      <w:rFonts w:ascii="STIX Two Math" w:hAnsi="STIX Two Math" w:eastAsia="STIX Two Math" w:cs="STIX Two Math"/>
                                      <w:i w:val="1"/>
                                      <w:iCs w:val="1"/>
                                      <w:sz w:val="22"/>
                                      <w:szCs w:val="22"/>
                                    </w:rPr>
                                    <m:t xml:space="preserve">p</m:t>
                                  </m:r>
                                </m:sub>
                                <m:sup>
                                  <m:r>
                                    <m:rPr>
                                      <m:sty m:val="i"/>
                                    </m:rPr>
                                    <w:rPr>
                                      <w:rFonts w:ascii="STIX Two Math" w:hAnsi="STIX Two Math" w:eastAsia="STIX Two Math" w:cs="STIX Two Math"/>
                                      <w:i w:val="1"/>
                                      <w:iCs w:val="1"/>
                                      <w:sz w:val="22"/>
                                      <w:szCs w:val="22"/>
                                    </w:rPr>
                                    <m:t xml:space="preserve">h</m:t>
                                  </m:r>
                                </m:sup>
                              </m:sSubSup>
                            </m:fName>
                            <m:e>
                              <m:d>
                                <m:dPr>
                                  <m:begChr m:val="("/>
                                  <m:endChr m:val=")"/>
                                </m:dPr>
                                <m:e>
                                  <m:r>
                                    <m:rPr>
                                      <m:sty m:val="i"/>
                                    </m:rPr>
                                    <w:rPr>
                                      <w:rFonts w:ascii="STIX Two Math" w:hAnsi="STIX Two Math" w:eastAsia="STIX Two Math" w:cs="STIX Two Math"/>
                                      <w:i w:val="1"/>
                                      <w:iCs w:val="1"/>
                                      <w:sz w:val="22"/>
                                      <w:szCs w:val="22"/>
                                    </w:rPr>
                                    <m:t xml:space="preserve">B</m:t>
                                  </m:r>
                                  <m:d>
                                    <m:dPr>
                                      <m:begChr m:val="("/>
                                      <m:endChr m:val=")"/>
                                    </m:dPr>
                                    <m:e>
                                      <m:r>
                                        <m:rPr>
                                          <m:sty m:val="i"/>
                                        </m:rPr>
                                        <w:rPr>
                                          <w:rFonts w:ascii="STIX Two Math" w:hAnsi="STIX Two Math" w:eastAsia="STIX Two Math" w:cs="STIX Two Math"/>
                                          <w:i w:val="1"/>
                                          <w:iCs w:val="1"/>
                                          <w:sz w:val="22"/>
                                          <w:szCs w:val="22"/>
                                        </w:rPr>
                                        <m:t xml:space="preserve">x</m:t>
                                      </m:r>
                                    </m:e>
                                  </m:d>
                                  <m:r>
                                    <m:rPr>
                                      <m:sty m:val="p"/>
                                    </m:rPr>
                                    <w:rPr>
                                      <w:rFonts w:ascii="STIX Two Math" w:hAnsi="STIX Two Math" w:eastAsia="STIX Two Math" w:cs="STIX Two Math"/>
                                      <w:i w:val="0"/>
                                      <w:iCs w:val="0"/>
                                      <w:sz w:val="22"/>
                                      <w:szCs w:val="22"/>
                                    </w:rPr>
                                    <m:t xml:space="preserve">;</m:t>
                                  </m:r>
                                  <m:sSub>
                                    <m:e>
                                      <m:r>
                                        <m:rPr>
                                          <m:sty m:val="i"/>
                                        </m:rPr>
                                        <w:rPr>
                                          <w:rFonts w:ascii="STIX Two Math" w:hAnsi="STIX Two Math" w:eastAsia="STIX Two Math" w:cs="STIX Two Math"/>
                                          <w:i w:val="1"/>
                                          <w:iCs w:val="1"/>
                                          <w:sz w:val="22"/>
                                          <w:szCs w:val="22"/>
                                        </w:rPr>
                                        <m:t xml:space="preserve">θ</m:t>
                                      </m:r>
                                    </m:e>
                                    <m:sub>
                                      <m:r>
                                        <m:rPr>
                                          <m:sty m:val="i"/>
                                        </m:rPr>
                                        <w:rPr>
                                          <w:rFonts w:ascii="STIX Two Math" w:hAnsi="STIX Two Math" w:eastAsia="STIX Two Math" w:cs="STIX Two Math"/>
                                          <w:i w:val="1"/>
                                          <w:iCs w:val="1"/>
                                          <w:sz w:val="22"/>
                                          <w:szCs w:val="22"/>
                                        </w:rPr>
                                        <m:t xml:space="preserve">a</m:t>
                                      </m:r>
                                    </m:sub>
                                  </m:sSub>
                                </m:e>
                              </m:d>
                            </m:e>
                          </m:func>
                        </m:e>
                      </m:d>
                    </m:oMath>
                  </m:oMathPara>
                </w:p>
              </w:tc>
              <w:tc>
                <w:tcPr>
                  <w:tcW w:type="dxa" w:w="425"/>
                  <w:vAlign w:val="center"/>
                </w:tcPr>
                <w:p>
                  <w:pPr>
                    <w:keepNext w:val="0"/>
                    <w:keepLines/>
                    <w:pageBreakBefore w:val="0"/>
                    <w:widowControl/>
                    <w:snapToGrid w:val="0"/>
                    <w:spacing w:before="0" w:after="0" w:line="276" w:lineRule="auto"/>
                    <w:ind w:firstLine="0" w:left="0" w:right="0"/>
                    <w:jc w:val="right"/>
                  </w:pPr>
                  <w:r>
                    <w:rPr>
                      <w:rFonts w:ascii="Times New Roman" w:hAnsi="Times New Roman" w:eastAsia="宋体"/>
                      <w:b w:val="0"/>
                      <w:sz w:val="21"/>
                    </w:rPr>
                  </w:r>
                  <w:r>
                    <w:rPr>
                      <w:rFonts w:ascii="Times New Roman" w:hAnsi="Times New Roman" w:eastAsia="宋体"/>
                      <w:b w:val="0"/>
                      <w:sz w:val="21"/>
                    </w:rPr>
                    <w:t>(3)</w:t>
                  </w:r>
                </w:p>
              </w:tc>
            </w:tr>
          </w:tbl>
          <w:p>
            <w:pPr>
              <w:keepNext w:val="0"/>
              <w:keepLines w:val="0"/>
              <w:pageBreakBefore w:val="0"/>
              <w:widowControl/>
              <w:snapToGrid w:val="0"/>
              <w:spacing w:before="0" w:after="4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320" w:lineRule="exact"/>
              <w:ind w:firstLine="420" w:left="0" w:right="0"/>
              <w:jc w:val="both"/>
            </w:pPr>
            <m:oMath>
              <m:sSub>
                <m:e>
                  <m:r>
                    <m:rPr>
                      <m:sty m:val="i"/>
                    </m:rPr>
                    <w:rPr>
                      <w:rFonts w:ascii="STIX Two Math" w:hAnsi="STIX Two Math" w:eastAsia="STIX Two Math" w:cs="STIX Two Math"/>
                      <w:i w:val="1"/>
                      <w:iCs w:val="1"/>
                      <w:sz w:val="22"/>
                      <w:szCs w:val="22"/>
                    </w:rPr>
                    <m:t xml:space="preserve">θ</m:t>
                  </m:r>
                </m:e>
                <m:sub>
                  <m:r>
                    <m:rPr>
                      <m:sty m:val="i"/>
                    </m:rPr>
                    <w:rPr>
                      <w:rFonts w:ascii="STIX Two Math" w:hAnsi="STIX Two Math" w:eastAsia="STIX Two Math" w:cs="STIX Two Math"/>
                      <w:i w:val="1"/>
                      <w:iCs w:val="1"/>
                      <w:sz w:val="22"/>
                      <w:szCs w:val="22"/>
                    </w:rPr>
                    <m:t xml:space="preserve">a</m:t>
                  </m:r>
                </m:sub>
              </m:sSub>
            </m:oMath>
            <w:r>
              <w:rPr>
                <w:rFonts w:ascii="Times New Roman" w:hAnsi="Times New Roman" w:eastAsia="宋体"/>
                <w:b w:val="0"/>
                <w:sz w:val="21"/>
              </w:rPr>
              <w:t xml:space="preserve"> 分别取基座模型和已开始适应的检查点，h 取 1 步或 4 步；小批次 B(x) 包含一个目标样本及七个条件匹配样本。方案将一万条短更新标签分配于覆盖、不确定性和选择边界采样，并在相同配置、任务、起点与步数组内归一化。代理监督学习大范围的排序结构，短更新监督修正关键区域的排序偏差；后者反映局部小批次更新效果，并非单个样本在完整训练中的独立因果贡献。</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2.4 条件评分与聚类配额选择</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 xml:space="preserve">条件评分器分别编码样本、配置和任务，使用 FiLM 将配置与任务信息转化为样本特征的缩放和平移，并用双线性交互表示样本—配置匹配关系。训练先蒸馏代理排序，再联合短更新排序、回归及不确定性损失。评分器输出效用均值预测 </w:t>
            </w:r>
            <m:oMath>
              <m:acc>
                <m:accPr>
                  <m:chr m:val="̂"/>
                </m:accPr>
                <m:e>
                  <m:r>
                    <m:rPr>
                      <m:sty m:val="i"/>
                    </m:rPr>
                    <w:rPr>
                      <w:rFonts w:ascii="STIX Two Math" w:hAnsi="STIX Two Math" w:eastAsia="STIX Two Math" w:cs="STIX Two Math"/>
                      <w:i w:val="1"/>
                      <w:iCs w:val="1"/>
                      <w:sz w:val="22"/>
                      <w:szCs w:val="22"/>
                    </w:rPr>
                    <m:t xml:space="preserve">μ</m:t>
                  </m:r>
                </m:e>
              </m:acc>
            </m:oMath>
            <w:r>
              <w:rPr>
                <w:rFonts w:ascii="Times New Roman" w:hAnsi="Times New Roman" w:eastAsia="宋体"/>
                <w:b w:val="0"/>
                <w:sz w:val="21"/>
              </w:rPr>
              <w:t xml:space="preserve"> 和输入相关的不确定性尺度 </w:t>
            </w:r>
            <m:oMath>
              <m:acc>
                <m:accPr>
                  <m:chr m:val="̂"/>
                </m:accPr>
                <m:e>
                  <m:r>
                    <m:rPr>
                      <m:sty m:val="i"/>
                    </m:rPr>
                    <w:rPr>
                      <w:rFonts w:ascii="STIX Two Math" w:hAnsi="STIX Two Math" w:eastAsia="STIX Two Math" w:cs="STIX Two Math"/>
                      <w:i w:val="1"/>
                      <w:iCs w:val="1"/>
                      <w:sz w:val="22"/>
                      <w:szCs w:val="22"/>
                    </w:rPr>
                    <m:t xml:space="preserve">σ</m:t>
                  </m:r>
                </m:e>
              </m:acc>
            </m:oMath>
            <w:r>
              <w:rPr>
                <w:rFonts w:ascii="Times New Roman" w:hAnsi="Times New Roman" w:eastAsia="宋体"/>
                <w:b w:val="0"/>
                <w:sz w:val="21"/>
              </w:rPr>
              <w:t xml:space="preserve">，在线排序采用：</w:t>
            </w:r>
          </w:p>
          <w:tbl>
            <w:tblPr>
              <w:tblW w:type="auto" w:w="0"/>
              <w:jc w:val="center"/>
              <w:tblBorders>
                <w:top w:val="nil"/>
                <w:left w:val="nil"/>
                <w:bottom w:val="nil"/>
                <w:right w:val="nil"/>
                <w:insideH w:val="nil"/>
                <w:insideV w:val="nil"/>
              </w:tblBorders>
              <w:tblLayout w:type="fixed"/>
              <w:tblCellMar>
                <w:top w:w="60" w:type="dxa"/>
                <w:left w:w="0" w:type="dxa"/>
                <w:bottom w:w="60" w:type="dxa"/>
                <w:right w:w="0" w:type="dxa"/>
              </w:tblCellMar>
              <w:tblLook w:firstColumn="1" w:firstRow="1" w:lastColumn="0" w:lastRow="0" w:noHBand="0" w:noVBand="1" w:val="04A0"/>
            </w:tblPr>
            <w:tblGrid>
              <w:gridCol w:w="425"/>
              <w:gridCol w:w="7654"/>
              <w:gridCol w:w="425"/>
            </w:tblGrid>
            <w:tr>
              <w:trPr>
                <w:cantSplit/>
              </w:trPr>
              <w:tc>
                <w:tcPr>
                  <w:tcW w:type="dxa" w:w="425"/>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w:p>
              </w:tc>
              <w:tc>
                <w:tcPr>
                  <w:tcW w:type="dxa" w:w="7654"/>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m:oMathPara>
                    <m:oMathParaPr>
                      <m:jc m:val="center"/>
                    </m:oMathParaPr>
                    <m:oMath>
                      <m:r>
                        <m:rPr>
                          <m:sty m:val="i"/>
                        </m:rPr>
                        <w:rPr>
                          <w:rFonts w:ascii="STIX Two Math" w:hAnsi="STIX Two Math" w:eastAsia="STIX Two Math" w:cs="STIX Two Math"/>
                          <w:i w:val="1"/>
                          <w:iCs w:val="1"/>
                          <w:sz w:val="22"/>
                          <w:szCs w:val="22"/>
                        </w:rPr>
                        <m:t xml:space="preserve">q</m:t>
                      </m:r>
                      <m:d>
                        <m:dPr>
                          <m:begChr m:val="("/>
                          <m:endChr m:val=")"/>
                        </m:dPr>
                        <m:e>
                          <m:r>
                            <m:rPr>
                              <m:sty m:val="i"/>
                            </m:rPr>
                            <w:rPr>
                              <w:rFonts w:ascii="STIX Two Math" w:hAnsi="STIX Two Math" w:eastAsia="STIX Two Math" w:cs="STIX Two Math"/>
                              <w:i w:val="1"/>
                              <w:iCs w:val="1"/>
                              <w:sz w:val="22"/>
                              <w:szCs w:val="22"/>
                            </w:rPr>
                            <m:t xml:space="preserve">x</m:t>
                          </m:r>
                        </m:e>
                      </m:d>
                      <m:r>
                        <m:rPr>
                          <m:sty m:val="p"/>
                        </m:rPr>
                        <w:rPr>
                          <w:rFonts w:ascii="STIX Two Math" w:hAnsi="STIX Two Math" w:eastAsia="STIX Two Math" w:cs="STIX Two Math"/>
                          <w:i w:val="0"/>
                          <w:iCs w:val="0"/>
                          <w:sz w:val="22"/>
                          <w:szCs w:val="22"/>
                        </w:rPr>
                        <m:t xml:space="preserve"> = </m:t>
                      </m:r>
                      <m:sSub>
                        <m:e>
                          <m:acc>
                            <m:accPr>
                              <m:chr m:val="̂"/>
                            </m:accPr>
                            <m:e>
                              <m:r>
                                <m:rPr>
                                  <m:sty m:val="i"/>
                                </m:rPr>
                                <w:rPr>
                                  <w:rFonts w:ascii="STIX Two Math" w:hAnsi="STIX Two Math" w:eastAsia="STIX Two Math" w:cs="STIX Two Math"/>
                                  <w:i w:val="1"/>
                                  <w:iCs w:val="1"/>
                                  <w:sz w:val="22"/>
                                  <w:szCs w:val="22"/>
                                </w:rPr>
                                <m:t xml:space="preserve">μ</m:t>
                              </m:r>
                            </m:e>
                          </m:acc>
                        </m:e>
                        <m:sub>
                          <m:r>
                            <m:rPr>
                              <m:sty m:val="i"/>
                            </m:rPr>
                            <w:rPr>
                              <w:rFonts w:ascii="STIX Two Math" w:hAnsi="STIX Two Math" w:eastAsia="STIX Two Math" w:cs="STIX Two Math"/>
                              <w:i w:val="1"/>
                              <w:iCs w:val="1"/>
                              <w:sz w:val="22"/>
                              <w:szCs w:val="22"/>
                            </w:rPr>
                            <m:t xml:space="preserve">φ</m:t>
                          </m:r>
                        </m:sub>
                      </m:sSub>
                      <m:d>
                        <m:dPr>
                          <m:begChr m:val="("/>
                          <m:endChr m:val=")"/>
                        </m:dPr>
                        <m:e>
                          <m:r>
                            <m:rPr>
                              <m:sty m:val="i"/>
                            </m:rPr>
                            <w:rPr>
                              <w:rFonts w:ascii="STIX Two Math" w:hAnsi="STIX Two Math" w:eastAsia="STIX Two Math" w:cs="STIX Two Math"/>
                              <w:i w:val="1"/>
                              <w:iCs w:val="1"/>
                              <w:sz w:val="22"/>
                              <w:szCs w:val="22"/>
                            </w:rPr>
                            <m:t xml:space="preserve">x</m:t>
                          </m:r>
                          <m:r>
                            <m:rPr>
                              <m:sty m:val="p"/>
                            </m:rPr>
                            <w:rPr>
                              <w:rFonts w:ascii="STIX Two Math" w:hAnsi="STIX Two Math" w:eastAsia="STIX Two Math" w:cs="STIX Two Math"/>
                              <w:i w:val="0"/>
                              <w:iCs w:val="0"/>
                              <w:sz w:val="22"/>
                              <w:szCs w:val="22"/>
                            </w:rPr>
                            <m:t xml:space="preserve">,</m:t>
                          </m:r>
                          <m:sSup>
                            <m:e>
                              <m:r>
                                <m:rPr>
                                  <m:sty m:val="i"/>
                                </m:rPr>
                                <w:rPr>
                                  <w:rFonts w:ascii="STIX Two Math" w:hAnsi="STIX Two Math" w:eastAsia="STIX Two Math" w:cs="STIX Two Math"/>
                                  <w:i w:val="1"/>
                                  <w:iCs w:val="1"/>
                                  <w:sz w:val="22"/>
                                  <w:szCs w:val="22"/>
                                </w:rPr>
                                <m:t xml:space="preserve">p</m:t>
                              </m:r>
                            </m:e>
                            <m:sup>
                              <m:r>
                                <m:rPr>
                                  <m:sty m:val="p"/>
                                </m:rPr>
                                <w:rPr>
                                  <w:rFonts w:ascii="STIX Two Math" w:hAnsi="STIX Two Math" w:eastAsia="STIX Two Math" w:cs="STIX Two Math"/>
                                  <w:i w:val="0"/>
                                  <w:iCs w:val="0"/>
                                  <w:sz w:val="22"/>
                                  <w:szCs w:val="22"/>
                                </w:rPr>
                                <m:t xml:space="preserve">*</m:t>
                              </m:r>
                            </m:sup>
                          </m:sSup>
                          <m:r>
                            <m:rPr>
                              <m:sty m:val="p"/>
                            </m:rPr>
                            <w:rPr>
                              <w:rFonts w:ascii="STIX Two Math" w:hAnsi="STIX Two Math" w:eastAsia="STIX Two Math" w:cs="STIX Two Math"/>
                              <w:i w:val="0"/>
                              <w:iCs w:val="0"/>
                              <w:sz w:val="22"/>
                              <w:szCs w:val="22"/>
                            </w:rPr>
                            <m:t xml:space="preserve">,</m:t>
                          </m:r>
                          <m:sSup>
                            <m:e>
                              <m:r>
                                <m:rPr>
                                  <m:sty m:val="i"/>
                                </m:rPr>
                                <w:rPr>
                                  <w:rFonts w:ascii="STIX Two Math" w:hAnsi="STIX Two Math" w:eastAsia="STIX Two Math" w:cs="STIX Two Math"/>
                                  <w:i w:val="1"/>
                                  <w:iCs w:val="1"/>
                                  <w:sz w:val="22"/>
                                  <w:szCs w:val="22"/>
                                </w:rPr>
                                <m:t xml:space="preserve">t</m:t>
                              </m:r>
                            </m:e>
                            <m:sup>
                              <m:r>
                                <m:rPr>
                                  <m:sty m:val="p"/>
                                </m:rPr>
                                <w:rPr>
                                  <w:rFonts w:ascii="STIX Two Math" w:hAnsi="STIX Two Math" w:eastAsia="STIX Two Math" w:cs="STIX Two Math"/>
                                  <w:i w:val="0"/>
                                  <w:iCs w:val="0"/>
                                  <w:sz w:val="22"/>
                                  <w:szCs w:val="22"/>
                                </w:rPr>
                                <m:t xml:space="preserve">*</m:t>
                              </m:r>
                            </m:sup>
                          </m:sSup>
                        </m:e>
                      </m:d>
                      <m:r>
                        <m:rPr>
                          <m:sty m:val="p"/>
                        </m:rPr>
                        <w:rPr>
                          <w:rFonts w:ascii="STIX Two Math" w:hAnsi="STIX Two Math" w:eastAsia="STIX Two Math" w:cs="STIX Two Math"/>
                          <w:i w:val="0"/>
                          <w:iCs w:val="0"/>
                          <w:sz w:val="22"/>
                          <w:szCs w:val="22"/>
                        </w:rPr>
                        <m:t xml:space="preserve"> − 0.2</m:t>
                      </m:r>
                      <m:sSub>
                        <m:e>
                          <m:acc>
                            <m:accPr>
                              <m:chr m:val="̂"/>
                            </m:accPr>
                            <m:e>
                              <m:r>
                                <m:rPr>
                                  <m:sty m:val="i"/>
                                </m:rPr>
                                <w:rPr>
                                  <w:rFonts w:ascii="STIX Two Math" w:hAnsi="STIX Two Math" w:eastAsia="STIX Two Math" w:cs="STIX Two Math"/>
                                  <w:i w:val="1"/>
                                  <w:iCs w:val="1"/>
                                  <w:sz w:val="22"/>
                                  <w:szCs w:val="22"/>
                                </w:rPr>
                                <m:t xml:space="preserve">σ</m:t>
                              </m:r>
                            </m:e>
                          </m:acc>
                        </m:e>
                        <m:sub>
                          <m:r>
                            <m:rPr>
                              <m:sty m:val="i"/>
                            </m:rPr>
                            <w:rPr>
                              <w:rFonts w:ascii="STIX Two Math" w:hAnsi="STIX Two Math" w:eastAsia="STIX Two Math" w:cs="STIX Two Math"/>
                              <w:i w:val="1"/>
                              <w:iCs w:val="1"/>
                              <w:sz w:val="22"/>
                              <w:szCs w:val="22"/>
                            </w:rPr>
                            <m:t xml:space="preserve">φ</m:t>
                          </m:r>
                        </m:sub>
                      </m:sSub>
                      <m:d>
                        <m:dPr>
                          <m:begChr m:val="("/>
                          <m:endChr m:val=")"/>
                        </m:dPr>
                        <m:e>
                          <m:r>
                            <m:rPr>
                              <m:sty m:val="i"/>
                            </m:rPr>
                            <w:rPr>
                              <w:rFonts w:ascii="STIX Two Math" w:hAnsi="STIX Two Math" w:eastAsia="STIX Two Math" w:cs="STIX Two Math"/>
                              <w:i w:val="1"/>
                              <w:iCs w:val="1"/>
                              <w:sz w:val="22"/>
                              <w:szCs w:val="22"/>
                            </w:rPr>
                            <m:t xml:space="preserve">x</m:t>
                          </m:r>
                          <m:r>
                            <m:rPr>
                              <m:sty m:val="p"/>
                            </m:rPr>
                            <w:rPr>
                              <w:rFonts w:ascii="STIX Two Math" w:hAnsi="STIX Two Math" w:eastAsia="STIX Two Math" w:cs="STIX Two Math"/>
                              <w:i w:val="0"/>
                              <w:iCs w:val="0"/>
                              <w:sz w:val="22"/>
                              <w:szCs w:val="22"/>
                            </w:rPr>
                            <m:t xml:space="preserve">,</m:t>
                          </m:r>
                          <m:sSup>
                            <m:e>
                              <m:r>
                                <m:rPr>
                                  <m:sty m:val="i"/>
                                </m:rPr>
                                <w:rPr>
                                  <w:rFonts w:ascii="STIX Two Math" w:hAnsi="STIX Two Math" w:eastAsia="STIX Two Math" w:cs="STIX Two Math"/>
                                  <w:i w:val="1"/>
                                  <w:iCs w:val="1"/>
                                  <w:sz w:val="22"/>
                                  <w:szCs w:val="22"/>
                                </w:rPr>
                                <m:t xml:space="preserve">p</m:t>
                              </m:r>
                            </m:e>
                            <m:sup>
                              <m:r>
                                <m:rPr>
                                  <m:sty m:val="p"/>
                                </m:rPr>
                                <w:rPr>
                                  <w:rFonts w:ascii="STIX Two Math" w:hAnsi="STIX Two Math" w:eastAsia="STIX Two Math" w:cs="STIX Two Math"/>
                                  <w:i w:val="0"/>
                                  <w:iCs w:val="0"/>
                                  <w:sz w:val="22"/>
                                  <w:szCs w:val="22"/>
                                </w:rPr>
                                <m:t xml:space="preserve">*</m:t>
                              </m:r>
                            </m:sup>
                          </m:sSup>
                          <m:r>
                            <m:rPr>
                              <m:sty m:val="p"/>
                            </m:rPr>
                            <w:rPr>
                              <w:rFonts w:ascii="STIX Two Math" w:hAnsi="STIX Two Math" w:eastAsia="STIX Two Math" w:cs="STIX Two Math"/>
                              <w:i w:val="0"/>
                              <w:iCs w:val="0"/>
                              <w:sz w:val="22"/>
                              <w:szCs w:val="22"/>
                            </w:rPr>
                            <m:t xml:space="preserve">,</m:t>
                          </m:r>
                          <m:sSup>
                            <m:e>
                              <m:r>
                                <m:rPr>
                                  <m:sty m:val="i"/>
                                </m:rPr>
                                <w:rPr>
                                  <w:rFonts w:ascii="STIX Two Math" w:hAnsi="STIX Two Math" w:eastAsia="STIX Two Math" w:cs="STIX Two Math"/>
                                  <w:i w:val="1"/>
                                  <w:iCs w:val="1"/>
                                  <w:sz w:val="22"/>
                                  <w:szCs w:val="22"/>
                                </w:rPr>
                                <m:t xml:space="preserve">t</m:t>
                              </m:r>
                            </m:e>
                            <m:sup>
                              <m:r>
                                <m:rPr>
                                  <m:sty m:val="p"/>
                                </m:rPr>
                                <w:rPr>
                                  <w:rFonts w:ascii="STIX Two Math" w:hAnsi="STIX Two Math" w:eastAsia="STIX Two Math" w:cs="STIX Two Math"/>
                                  <w:i w:val="0"/>
                                  <w:iCs w:val="0"/>
                                  <w:sz w:val="22"/>
                                  <w:szCs w:val="22"/>
                                </w:rPr>
                                <m:t xml:space="preserve">*</m:t>
                              </m:r>
                            </m:sup>
                          </m:sSup>
                        </m:e>
                      </m:d>
                    </m:oMath>
                  </m:oMathPara>
                </w:p>
              </w:tc>
              <w:tc>
                <w:tcPr>
                  <w:tcW w:type="dxa" w:w="425"/>
                  <w:vAlign w:val="center"/>
                </w:tcPr>
                <w:p>
                  <w:pPr>
                    <w:keepNext w:val="0"/>
                    <w:keepLines/>
                    <w:pageBreakBefore w:val="0"/>
                    <w:widowControl/>
                    <w:snapToGrid w:val="0"/>
                    <w:spacing w:before="0" w:after="0" w:line="276" w:lineRule="auto"/>
                    <w:ind w:firstLine="0" w:left="0" w:right="0"/>
                    <w:jc w:val="right"/>
                  </w:pPr>
                  <w:r>
                    <w:rPr>
                      <w:rFonts w:ascii="Times New Roman" w:hAnsi="Times New Roman" w:eastAsia="宋体"/>
                      <w:b w:val="0"/>
                      <w:sz w:val="21"/>
                    </w:rPr>
                  </w:r>
                  <w:r>
                    <w:rPr>
                      <w:rFonts w:ascii="Times New Roman" w:hAnsi="Times New Roman" w:eastAsia="宋体"/>
                      <w:b w:val="0"/>
                      <w:sz w:val="21"/>
                    </w:rPr>
                    <w:t>(4)</w:t>
                  </w:r>
                </w:p>
              </w:tc>
            </w:tr>
          </w:tbl>
          <w:p>
            <w:pPr>
              <w:keepNext w:val="0"/>
              <w:keepLines w:val="0"/>
              <w:pageBreakBefore w:val="0"/>
              <w:widowControl/>
              <w:snapToGrid w:val="0"/>
              <w:spacing w:before="0" w:after="4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 xml:space="preserve">不确定性项降低预测噪声较大样本的优先级，用于排序惩罚而非置信区间。为缓解高分样本过于集中，进一步在语义空间聚类。设 </w:t>
            </w:r>
            <m:oMath>
              <m:sSub>
                <m:e>
                  <m:r>
                    <m:rPr>
                      <m:sty m:val="i"/>
                    </m:rPr>
                    <w:rPr>
                      <w:rFonts w:ascii="STIX Two Math" w:hAnsi="STIX Two Math" w:eastAsia="STIX Two Math" w:cs="STIX Two Math"/>
                      <w:i w:val="1"/>
                      <w:iCs w:val="1"/>
                      <w:sz w:val="22"/>
                      <w:szCs w:val="22"/>
                    </w:rPr>
                    <m:t xml:space="preserve">C</m:t>
                  </m:r>
                </m:e>
                <m:sub>
                  <m:r>
                    <m:rPr>
                      <m:sty m:val="i"/>
                    </m:rPr>
                    <w:rPr>
                      <w:rFonts w:ascii="STIX Two Math" w:hAnsi="STIX Two Math" w:eastAsia="STIX Two Math" w:cs="STIX Two Math"/>
                      <w:i w:val="1"/>
                      <w:iCs w:val="1"/>
                      <w:sz w:val="22"/>
                      <w:szCs w:val="22"/>
                    </w:rPr>
                    <m:t xml:space="preserve">k</m:t>
                  </m:r>
                </m:sub>
              </m:sSub>
            </m:oMath>
            <w:r>
              <w:rPr>
                <w:rFonts w:ascii="Times New Roman" w:hAnsi="Times New Roman" w:eastAsia="宋体"/>
                <w:b w:val="0"/>
                <w:sz w:val="21"/>
              </w:rPr>
              <w:t xml:space="preserve"> 为第 k 个簇，</w:t>
            </w:r>
            <m:oMath>
              <m:sSub>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k</m:t>
                  </m:r>
                </m:sub>
              </m:sSub>
            </m:oMath>
            <w:r>
              <w:rPr>
                <w:rFonts w:ascii="Times New Roman" w:hAnsi="Times New Roman" w:eastAsia="宋体"/>
                <w:b w:val="0"/>
                <w:sz w:val="21"/>
              </w:rPr>
              <w:t xml:space="preserve"> 为簇内前 10% 样本的平均保守分数，</w:t>
            </w:r>
            <m:oMath>
              <m:sSubSup>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k</m:t>
                  </m:r>
                </m:sub>
                <m:sup>
                  <m:r>
                    <m:rPr>
                      <m:sty m:val="p"/>
                    </m:rPr>
                    <w:rPr>
                      <w:rFonts w:ascii="STIX Two Math" w:hAnsi="STIX Two Math" w:eastAsia="STIX Two Math" w:cs="STIX Two Math"/>
                      <w:i w:val="0"/>
                      <w:iCs w:val="0"/>
                      <w:sz w:val="22"/>
                      <w:szCs w:val="22"/>
                    </w:rPr>
                    <m:t xml:space="preserve"> + </m:t>
                  </m:r>
                </m:sup>
              </m:sSubSup>
            </m:oMath>
            <w:r>
              <w:rPr>
                <w:rFonts w:ascii="Times New Roman" w:hAnsi="Times New Roman" w:eastAsia="宋体"/>
                <w:b w:val="0"/>
                <w:sz w:val="21"/>
              </w:rPr>
              <w:t xml:space="preserve"> 为其正部，则簇配额为：</w:t>
            </w:r>
          </w:p>
          <w:tbl>
            <w:tblPr>
              <w:tblW w:type="auto" w:w="0"/>
              <w:jc w:val="center"/>
              <w:tblBorders>
                <w:top w:val="nil"/>
                <w:left w:val="nil"/>
                <w:bottom w:val="nil"/>
                <w:right w:val="nil"/>
                <w:insideH w:val="nil"/>
                <w:insideV w:val="nil"/>
              </w:tblBorders>
              <w:tblLayout w:type="fixed"/>
              <w:tblCellMar>
                <w:top w:w="60" w:type="dxa"/>
                <w:left w:w="0" w:type="dxa"/>
                <w:bottom w:w="60" w:type="dxa"/>
                <w:right w:w="0" w:type="dxa"/>
              </w:tblCellMar>
              <w:tblLook w:firstColumn="1" w:firstRow="1" w:lastColumn="0" w:lastRow="0" w:noHBand="0" w:noVBand="1" w:val="04A0"/>
            </w:tblPr>
            <w:tblGrid>
              <w:gridCol w:w="425"/>
              <w:gridCol w:w="7654"/>
              <w:gridCol w:w="425"/>
            </w:tblGrid>
            <w:tr>
              <w:trPr>
                <w:cantSplit/>
              </w:trPr>
              <w:tc>
                <w:tcPr>
                  <w:tcW w:type="dxa" w:w="425"/>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w:p>
              </w:tc>
              <w:tc>
                <w:tcPr>
                  <w:tcW w:type="dxa" w:w="7654"/>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m:oMathPara>
                    <m:oMathParaPr>
                      <m:jc m:val="center"/>
                    </m:oMathParaPr>
                    <m:oMath>
                      <m:sSub>
                        <m:e>
                          <m:r>
                            <m:rPr>
                              <m:sty m:val="i"/>
                            </m:rPr>
                            <w:rPr>
                              <w:rFonts w:ascii="STIX Two Math" w:hAnsi="STIX Two Math" w:eastAsia="STIX Two Math" w:cs="STIX Two Math"/>
                              <w:i w:val="1"/>
                              <w:iCs w:val="1"/>
                              <w:sz w:val="22"/>
                              <w:szCs w:val="22"/>
                            </w:rPr>
                            <m:t xml:space="preserve">b</m:t>
                          </m:r>
                        </m:e>
                        <m:sub>
                          <m:r>
                            <m:rPr>
                              <m:sty m:val="i"/>
                            </m:rPr>
                            <w:rPr>
                              <w:rFonts w:ascii="STIX Two Math" w:hAnsi="STIX Two Math" w:eastAsia="STIX Two Math" w:cs="STIX Two Math"/>
                              <w:i w:val="1"/>
                              <w:iCs w:val="1"/>
                              <w:sz w:val="22"/>
                              <w:szCs w:val="22"/>
                            </w:rPr>
                            <m:t xml:space="preserve">k</m:t>
                          </m:r>
                        </m:sub>
                      </m:sSub>
                      <m:r>
                        <m:rPr>
                          <m:sty m:val="p"/>
                        </m:rPr>
                        <w:rPr>
                          <w:rFonts w:ascii="STIX Two Math" w:hAnsi="STIX Two Math" w:eastAsia="STIX Two Math" w:cs="STIX Two Math"/>
                          <w:i w:val="0"/>
                          <w:iCs w:val="0"/>
                          <w:sz w:val="22"/>
                          <w:szCs w:val="22"/>
                        </w:rPr>
                        <m:t xml:space="preserve"> = </m:t>
                      </m:r>
                      <m:func>
                        <m:fName>
                          <m:r>
                            <m:rPr>
                              <m:nor/>
                              <m:sty m:val="p"/>
                            </m:rPr>
                            <w:rPr>
                              <w:rFonts w:ascii="STIX Two Math" w:hAnsi="STIX Two Math" w:eastAsia="STIX Two Math" w:cs="STIX Two Math"/>
                              <w:i w:val="0"/>
                              <w:iCs w:val="0"/>
                              <w:sz w:val="22"/>
                              <w:szCs w:val="22"/>
                            </w:rPr>
                            <m:t xml:space="preserve">round</m:t>
                          </m:r>
                        </m:fName>
                        <m:e>
                          <m:d>
                            <m:dPr>
                              <m:begChr m:val="["/>
                              <m:endChr m:val="]"/>
                            </m:dPr>
                            <m:e>
                              <m:r>
                                <m:rPr>
                                  <m:sty m:val="i"/>
                                </m:rPr>
                                <w:rPr>
                                  <w:rFonts w:ascii="STIX Two Math" w:hAnsi="STIX Two Math" w:eastAsia="STIX Two Math" w:cs="STIX Two Math"/>
                                  <w:i w:val="1"/>
                                  <w:iCs w:val="1"/>
                                  <w:sz w:val="22"/>
                                  <w:szCs w:val="22"/>
                                </w:rPr>
                                <m:t xml:space="preserve">B</m:t>
                              </m:r>
                              <m:f>
                                <m:num>
                                  <m:sSup>
                                    <m:e>
                                      <m:d>
                                        <m:dPr>
                                          <m:begChr m:val="("/>
                                          <m:endChr m:val=")"/>
                                        </m:dPr>
                                        <m:e>
                                          <m:sSubSup>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k</m:t>
                                              </m:r>
                                            </m:sub>
                                            <m:sup>
                                              <m:r>
                                                <m:rPr>
                                                  <m:sty m:val="p"/>
                                                </m:rPr>
                                                <w:rPr>
                                                  <w:rFonts w:ascii="STIX Two Math" w:hAnsi="STIX Two Math" w:eastAsia="STIX Two Math" w:cs="STIX Two Math"/>
                                                  <w:i w:val="0"/>
                                                  <w:iCs w:val="0"/>
                                                  <w:sz w:val="22"/>
                                                  <w:szCs w:val="22"/>
                                                </w:rPr>
                                                <m:t xml:space="preserve"> + </m:t>
                                              </m:r>
                                            </m:sup>
                                          </m:sSubSup>
                                        </m:e>
                                      </m:d>
                                    </m:e>
                                    <m:sup>
                                      <m:r>
                                        <m:rPr>
                                          <m:sty m:val="p"/>
                                        </m:rPr>
                                        <w:rPr>
                                          <w:rFonts w:ascii="STIX Two Math" w:hAnsi="STIX Two Math" w:eastAsia="STIX Two Math" w:cs="STIX Two Math"/>
                                          <w:i w:val="0"/>
                                          <w:iCs w:val="0"/>
                                          <w:sz w:val="22"/>
                                          <w:szCs w:val="22"/>
                                        </w:rPr>
                                        <m:t xml:space="preserve">0.6</m:t>
                                      </m:r>
                                    </m:sup>
                                  </m:sSup>
                                  <m:sSup>
                                    <m:e>
                                      <m:d>
                                        <m:dPr>
                                          <m:begChr m:val="|"/>
                                          <m:endChr m:val="|"/>
                                        </m:dPr>
                                        <m:e>
                                          <m:sSub>
                                            <m:e>
                                              <m:r>
                                                <m:rPr>
                                                  <m:sty m:val="i"/>
                                                </m:rPr>
                                                <w:rPr>
                                                  <w:rFonts w:ascii="STIX Two Math" w:hAnsi="STIX Two Math" w:eastAsia="STIX Two Math" w:cs="STIX Two Math"/>
                                                  <w:i w:val="1"/>
                                                  <w:iCs w:val="1"/>
                                                  <w:sz w:val="22"/>
                                                  <w:szCs w:val="22"/>
                                                </w:rPr>
                                                <m:t xml:space="preserve">C</m:t>
                                              </m:r>
                                            </m:e>
                                            <m:sub>
                                              <m:r>
                                                <m:rPr>
                                                  <m:sty m:val="i"/>
                                                </m:rPr>
                                                <w:rPr>
                                                  <w:rFonts w:ascii="STIX Two Math" w:hAnsi="STIX Two Math" w:eastAsia="STIX Two Math" w:cs="STIX Two Math"/>
                                                  <w:i w:val="1"/>
                                                  <w:iCs w:val="1"/>
                                                  <w:sz w:val="22"/>
                                                  <w:szCs w:val="22"/>
                                                </w:rPr>
                                                <m:t xml:space="preserve">k</m:t>
                                              </m:r>
                                            </m:sub>
                                          </m:sSub>
                                        </m:e>
                                      </m:d>
                                    </m:e>
                                    <m:sup>
                                      <m:r>
                                        <m:rPr>
                                          <m:sty m:val="p"/>
                                        </m:rPr>
                                        <w:rPr>
                                          <w:rFonts w:ascii="STIX Two Math" w:hAnsi="STIX Two Math" w:eastAsia="STIX Two Math" w:cs="STIX Two Math"/>
                                          <w:i w:val="0"/>
                                          <w:iCs w:val="0"/>
                                          <w:sz w:val="22"/>
                                          <w:szCs w:val="22"/>
                                        </w:rPr>
                                        <m:t xml:space="preserve">0.4</m:t>
                                      </m:r>
                                    </m:sup>
                                  </m:sSup>
                                </m:num>
                                <m:den>
                                  <m:nary>
                                    <m:naryPr>
                                      <m:chr m:val="∑"/>
                                      <m:limLoc m:val="subSup"/>
                                      <m:supHide m:val="1"/>
                                    </m:naryPr>
                                    <m:sub>
                                      <m:r>
                                        <m:rPr>
                                          <m:sty m:val="i"/>
                                        </m:rPr>
                                        <w:rPr>
                                          <w:rFonts w:ascii="STIX Two Math" w:hAnsi="STIX Two Math" w:eastAsia="STIX Two Math" w:cs="STIX Two Math"/>
                                          <w:i w:val="1"/>
                                          <w:iCs w:val="1"/>
                                          <w:sz w:val="22"/>
                                          <w:szCs w:val="22"/>
                                        </w:rPr>
                                        <m:t xml:space="preserve">j</m:t>
                                      </m:r>
                                    </m:sub>
                                    <m:sup/>
                                    <m:e>
                                      <m:sSup>
                                        <m:e>
                                          <m:d>
                                            <m:dPr>
                                              <m:begChr m:val="("/>
                                              <m:endChr m:val=")"/>
                                            </m:dPr>
                                            <m:e>
                                              <m:sSubSup>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j</m:t>
                                                  </m:r>
                                                </m:sub>
                                                <m:sup>
                                                  <m:r>
                                                    <m:rPr>
                                                      <m:sty m:val="p"/>
                                                    </m:rPr>
                                                    <w:rPr>
                                                      <w:rFonts w:ascii="STIX Two Math" w:hAnsi="STIX Two Math" w:eastAsia="STIX Two Math" w:cs="STIX Two Math"/>
                                                      <w:i w:val="0"/>
                                                      <w:iCs w:val="0"/>
                                                      <w:sz w:val="22"/>
                                                      <w:szCs w:val="22"/>
                                                    </w:rPr>
                                                    <m:t xml:space="preserve"> + </m:t>
                                                  </m:r>
                                                </m:sup>
                                              </m:sSubSup>
                                            </m:e>
                                          </m:d>
                                        </m:e>
                                        <m:sup>
                                          <m:r>
                                            <m:rPr>
                                              <m:sty m:val="p"/>
                                            </m:rPr>
                                            <w:rPr>
                                              <w:rFonts w:ascii="STIX Two Math" w:hAnsi="STIX Two Math" w:eastAsia="STIX Two Math" w:cs="STIX Two Math"/>
                                              <w:i w:val="0"/>
                                              <w:iCs w:val="0"/>
                                              <w:sz w:val="22"/>
                                              <w:szCs w:val="22"/>
                                            </w:rPr>
                                            <m:t xml:space="preserve">0.6</m:t>
                                          </m:r>
                                        </m:sup>
                                      </m:sSup>
                                      <m:sSup>
                                        <m:e>
                                          <m:d>
                                            <m:dPr>
                                              <m:begChr m:val="|"/>
                                              <m:endChr m:val="|"/>
                                            </m:dPr>
                                            <m:e>
                                              <m:sSub>
                                                <m:e>
                                                  <m:r>
                                                    <m:rPr>
                                                      <m:sty m:val="i"/>
                                                    </m:rPr>
                                                    <w:rPr>
                                                      <w:rFonts w:ascii="STIX Two Math" w:hAnsi="STIX Two Math" w:eastAsia="STIX Two Math" w:cs="STIX Two Math"/>
                                                      <w:i w:val="1"/>
                                                      <w:iCs w:val="1"/>
                                                      <w:sz w:val="22"/>
                                                      <w:szCs w:val="22"/>
                                                    </w:rPr>
                                                    <m:t xml:space="preserve">C</m:t>
                                                  </m:r>
                                                </m:e>
                                                <m:sub>
                                                  <m:r>
                                                    <m:rPr>
                                                      <m:sty m:val="i"/>
                                                    </m:rPr>
                                                    <w:rPr>
                                                      <w:rFonts w:ascii="STIX Two Math" w:hAnsi="STIX Two Math" w:eastAsia="STIX Two Math" w:cs="STIX Two Math"/>
                                                      <w:i w:val="1"/>
                                                      <w:iCs w:val="1"/>
                                                      <w:sz w:val="22"/>
                                                      <w:szCs w:val="22"/>
                                                    </w:rPr>
                                                    <m:t xml:space="preserve">j</m:t>
                                                  </m:r>
                                                </m:sub>
                                              </m:sSub>
                                            </m:e>
                                          </m:d>
                                        </m:e>
                                        <m:sup>
                                          <m:r>
                                            <m:rPr>
                                              <m:sty m:val="p"/>
                                            </m:rPr>
                                            <w:rPr>
                                              <w:rFonts w:ascii="STIX Two Math" w:hAnsi="STIX Two Math" w:eastAsia="STIX Two Math" w:cs="STIX Two Math"/>
                                              <w:i w:val="0"/>
                                              <w:iCs w:val="0"/>
                                              <w:sz w:val="22"/>
                                              <w:szCs w:val="22"/>
                                            </w:rPr>
                                            <m:t xml:space="preserve">0.4</m:t>
                                          </m:r>
                                        </m:sup>
                                      </m:sSup>
                                    </m:e>
                                  </m:nary>
                                </m:den>
                              </m:f>
                            </m:e>
                          </m:d>
                        </m:e>
                      </m:func>
                      <m:r>
                        <m:rPr>
                          <m:sty m:val="p"/>
                        </m:rPr>
                        <w:rPr>
                          <w:rFonts w:ascii="STIX Two Math" w:hAnsi="STIX Two Math" w:eastAsia="STIX Two Math" w:cs="STIX Two Math"/>
                          <w:i w:val="0"/>
                          <w:iCs w:val="0"/>
                          <w:sz w:val="22"/>
                          <w:szCs w:val="22"/>
                        </w:rPr>
                        <m:t xml:space="preserve">,   </m:t>
                      </m:r>
                      <m:sSubSup>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k</m:t>
                          </m:r>
                        </m:sub>
                        <m:sup>
                          <m:r>
                            <m:rPr>
                              <m:sty m:val="p"/>
                            </m:rPr>
                            <w:rPr>
                              <w:rFonts w:ascii="STIX Two Math" w:hAnsi="STIX Two Math" w:eastAsia="STIX Two Math" w:cs="STIX Two Math"/>
                              <w:i w:val="0"/>
                              <w:iCs w:val="0"/>
                              <w:sz w:val="22"/>
                              <w:szCs w:val="22"/>
                            </w:rPr>
                            <m:t xml:space="preserve"> + </m:t>
                          </m:r>
                        </m:sup>
                      </m:sSubSup>
                      <m:r>
                        <m:rPr>
                          <m:sty m:val="p"/>
                        </m:rPr>
                        <w:rPr>
                          <w:rFonts w:ascii="STIX Two Math" w:hAnsi="STIX Two Math" w:eastAsia="STIX Two Math" w:cs="STIX Two Math"/>
                          <w:i w:val="0"/>
                          <w:iCs w:val="0"/>
                          <w:sz w:val="22"/>
                          <w:szCs w:val="22"/>
                        </w:rPr>
                        <m:t xml:space="preserve"> = </m:t>
                      </m:r>
                      <m:func>
                        <m:fName>
                          <m:r>
                            <m:rPr>
                              <m:nor/>
                              <m:sty m:val="p"/>
                            </m:rPr>
                            <w:rPr>
                              <w:rFonts w:ascii="STIX Two Math" w:hAnsi="STIX Two Math" w:eastAsia="STIX Two Math" w:cs="STIX Two Math"/>
                              <w:i w:val="0"/>
                              <w:iCs w:val="0"/>
                              <w:sz w:val="22"/>
                              <w:szCs w:val="22"/>
                            </w:rPr>
                            <m:t xml:space="preserve">max</m:t>
                          </m:r>
                        </m:fName>
                        <m:e>
                          <m:d>
                            <m:dPr>
                              <m:begChr m:val="("/>
                              <m:endChr m:val=")"/>
                            </m:dPr>
                            <m:e>
                              <m:sSub>
                                <m:e>
                                  <m:r>
                                    <m:rPr>
                                      <m:sty m:val="i"/>
                                    </m:rPr>
                                    <w:rPr>
                                      <w:rFonts w:ascii="STIX Two Math" w:hAnsi="STIX Two Math" w:eastAsia="STIX Two Math" w:cs="STIX Two Math"/>
                                      <w:i w:val="1"/>
                                      <w:iCs w:val="1"/>
                                      <w:sz w:val="22"/>
                                      <w:szCs w:val="22"/>
                                    </w:rPr>
                                    <m:t xml:space="preserve">v</m:t>
                                  </m:r>
                                </m:e>
                                <m:sub>
                                  <m:r>
                                    <m:rPr>
                                      <m:sty m:val="i"/>
                                    </m:rPr>
                                    <w:rPr>
                                      <w:rFonts w:ascii="STIX Two Math" w:hAnsi="STIX Two Math" w:eastAsia="STIX Two Math" w:cs="STIX Two Math"/>
                                      <w:i w:val="1"/>
                                      <w:iCs w:val="1"/>
                                      <w:sz w:val="22"/>
                                      <w:szCs w:val="22"/>
                                    </w:rPr>
                                    <m:t xml:space="preserve">k</m:t>
                                  </m:r>
                                </m:sub>
                              </m:sSub>
                              <m:r>
                                <m:rPr>
                                  <m:sty m:val="p"/>
                                </m:rPr>
                                <w:rPr>
                                  <w:rFonts w:ascii="STIX Two Math" w:hAnsi="STIX Two Math" w:eastAsia="STIX Two Math" w:cs="STIX Two Math"/>
                                  <w:i w:val="0"/>
                                  <w:iCs w:val="0"/>
                                  <w:sz w:val="22"/>
                                  <w:szCs w:val="22"/>
                                </w:rPr>
                                <m:t xml:space="preserve">,</m:t>
                              </m:r>
                              <m:r>
                                <m:rPr>
                                  <m:sty m:val="p"/>
                                </m:rPr>
                                <w:rPr>
                                  <w:rFonts w:ascii="STIX Two Math" w:hAnsi="STIX Two Math" w:eastAsia="STIX Two Math" w:cs="STIX Two Math"/>
                                  <w:i w:val="0"/>
                                  <w:iCs w:val="0"/>
                                  <w:sz w:val="22"/>
                                  <w:szCs w:val="22"/>
                                </w:rPr>
                                <m:t xml:space="preserve">0</m:t>
                              </m:r>
                            </m:e>
                          </m:d>
                        </m:e>
                      </m:func>
                    </m:oMath>
                  </m:oMathPara>
                </w:p>
              </w:tc>
              <w:tc>
                <w:tcPr>
                  <w:tcW w:type="dxa" w:w="425"/>
                  <w:vAlign w:val="center"/>
                </w:tcPr>
                <w:p>
                  <w:pPr>
                    <w:keepNext w:val="0"/>
                    <w:keepLines/>
                    <w:pageBreakBefore w:val="0"/>
                    <w:widowControl/>
                    <w:snapToGrid w:val="0"/>
                    <w:spacing w:before="0" w:after="0" w:line="276" w:lineRule="auto"/>
                    <w:ind w:firstLine="0" w:left="0" w:right="0"/>
                    <w:jc w:val="right"/>
                  </w:pPr>
                  <w:r>
                    <w:rPr>
                      <w:rFonts w:ascii="Times New Roman" w:hAnsi="Times New Roman" w:eastAsia="宋体"/>
                      <w:b w:val="0"/>
                      <w:sz w:val="21"/>
                    </w:rPr>
                  </w:r>
                  <w:r>
                    <w:rPr>
                      <w:rFonts w:ascii="Times New Roman" w:hAnsi="Times New Roman" w:eastAsia="宋体"/>
                      <w:b w:val="0"/>
                      <w:sz w:val="21"/>
                    </w:rPr>
                    <w:t>(5)</w:t>
                  </w:r>
                </w:p>
              </w:tc>
            </w:tr>
          </w:tbl>
          <w:p>
            <w:pPr>
              <w:keepNext w:val="0"/>
              <w:keepLines w:val="0"/>
              <w:pageBreakBefore w:val="0"/>
              <w:widowControl/>
              <w:snapToGrid w:val="0"/>
              <w:spacing w:before="0" w:after="4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配额结合目标效用与簇规模，再在各簇内选择分数最高的样本，并通过确定性余数处理满足总预算。30 万候选样本按既定规则形成 547 个簇。共享语义划分提供覆盖结构，目标条件分数决定每次选择的预算分布。</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评分器在已见配置及结构接近的目标上直接使用；对同一家族内较大偏移或未见家族，存在兼容标签时进行小规模校准，否则采用逐目标选择方法。该支持策略将可复用评分与适用边界结合，避免将固定骨干上的共享表征直接解释为任意配置、任意骨干均可迁移。</w:t>
            </w:r>
          </w:p>
          <w:p>
            <w:pPr>
              <w:keepNext/>
              <w:keepLines w:val="0"/>
              <w:pageBreakBefore w:val="0"/>
              <w:widowControl/>
              <w:snapToGrid w:val="0"/>
              <w:spacing w:before="180" w:after="100" w:line="360" w:lineRule="exact"/>
              <w:ind w:firstLine="0" w:left="0" w:right="0"/>
              <w:jc w:val="both"/>
            </w:pPr>
            <w:r>
              <w:rPr>
                <w:rFonts w:ascii="Times New Roman" w:hAnsi="Times New Roman" w:eastAsia="宋体"/>
                <w:b/>
                <w:sz w:val="21"/>
              </w:rPr>
              <w:t>3 实验</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3.1 实验设置</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实验按论文正文的三个问题展开：已见配置上的下游质量是否接近逐配置 LESS，公共计算能否降低新增配置的选择成本，以及评分器在未见配置上如何通过少量标签校准。采用 Llama-2-7B 骨干，从去污染后的 30 万条混合指令数据中选择 10%，即 3 万条样本。主实验覆盖 GSM8K、HumanEval、MMLU 和 TyDiQA，分别使用精确匹配率、Pass@1、准确率和 F1，并对四项百分制指标等权平均。</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每个任务摘要含 32 个训练或开发侧示例，且与评测数据分离；HumanEval 使用 MBPP 和 CodeAlpaca 构造摘要。主实验采用 AD-b64、IA3-attnmlp、L-r16-qkvo、L-r8-mlp、L-r8-qv 五种已见配置。各选择方法固定骨干、PEFT 配方及评测协议，下游训练使用 1000 步 AdamW、全局批量 128、最大序列长度 1024 和余弦学习率调度。计时平台为 8 张 NVIDIA H20-96GB，GPU 小时等于墙钟小时乘以 GPU 数。</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以下按照论文正文整理实验结果。表中转录均值；描述性统计不用于独立样本显著性结论。</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3.2 实验一 已见配置上的下游质量对比</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本实验比较条件选数与逐配置选择的下游质量。Random 不使用任务与 PEFT 条件；RDS+ 按冻结表征与任务摘要的相似度选数；Influence 使用不区分 PEFT 的共享梯度存储；LESS 为每种配置单独建库。PCU-Select 复用表征和评分器，为各目标生成子集。</w:t>
            </w:r>
          </w:p>
          <w:tbl>
            <w:tblPr>
              <w:tblW w:w="8390" w:type="dxa"/>
              <w:jc w:val="center"/>
              <w:tblBorders>
                <w:top w:val="nil"/>
                <w:left w:val="nil"/>
                <w:bottom w:val="nil"/>
                <w:right w:val="nil"/>
                <w:insideH w:val="nil"/>
                <w:insideV w:val="nil"/>
              </w:tblBorders>
              <w:tblCellMar>
                <w:top w:w="0" w:type="dxa"/>
                <w:left w:w="0" w:type="dxa"/>
                <w:bottom w:w="0" w:type="dxa"/>
                <w:right w:w="0" w:type="dxa"/>
              </w:tblCellMar>
            </w:tblPr>
            <w:tblGrid>
              <w:gridCol w:w="8390"/>
            </w:tblGrid>
            <w:tr>
              <w:trPr>
                <w:cantSplit/>
              </w:trPr>
              <w:tc>
                <w:tcPr>
                  <w:tcW w:w="8390" w:type="dxa"/>
                </w:tcPr>
                <w:p>
                  <w:pPr>
                    <w:keepNext/>
                    <w:keepLines w:val="0"/>
                    <w:pageBreakBefore w:val="0"/>
                    <w:widowControl/>
                    <w:snapToGrid w:val="0"/>
                    <w:spacing w:before="80" w:after="80" w:line="320" w:lineRule="exact"/>
                    <w:ind w:firstLine="0" w:left="0" w:right="0"/>
                    <w:jc w:val="center"/>
                  </w:pPr>
                  <w:r>
                    <w:rPr>
                      <w:rFonts w:ascii="Times New Roman" w:hAnsi="Times New Roman" w:eastAsia="宋体"/>
                      <w:b/>
                      <w:sz w:val="21"/>
                    </w:rPr>
                    <w:t>表 1  五种已见 PEFT 配置的主实验结果</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left w:w="90" w:type="dxa"/>
                      <w:bottom w:w="65" w:type="dxa"/>
                      <w:right w:w="90" w:type="dxa"/>
                    </w:tblCellMar>
                    <w:tblLook w:firstColumn="1" w:firstRow="1" w:lastColumn="0" w:lastRow="0" w:noHBand="0" w:noVBand="1" w:val="04A0"/>
                  </w:tblPr>
                  <w:tblGrid>
                    <w:gridCol w:w="1474"/>
                    <w:gridCol w:w="1077"/>
                    <w:gridCol w:w="1247"/>
                    <w:gridCol w:w="1247"/>
                    <w:gridCol w:w="1077"/>
                    <w:gridCol w:w="1077"/>
                    <w:gridCol w:w="1191"/>
                  </w:tblGrid>
                  <w:tr>
                    <w:trPr>
                      <w:tblHeader/>
                      <w:cantSplit/>
                    </w:trPr>
                    <w:tc>
                      <w:tcPr>
                        <w:tcW w:type="dxa" w:w="1474"/>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方法</w:t>
                        </w:r>
                      </w:p>
                    </w:tc>
                    <w:tc>
                      <w:tcPr>
                        <w:tcW w:type="dxa" w:w="1077"/>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AD-b64</w:t>
                        </w:r>
                      </w:p>
                    </w:tc>
                    <w:tc>
                      <w:tcPr>
                        <w:tcW w:type="dxa" w:w="1247"/>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IA3-</w:t>
                          <w:br/>
                          <w:t>attnmlp</w:t>
                        </w:r>
                      </w:p>
                    </w:tc>
                    <w:tc>
                      <w:tcPr>
                        <w:tcW w:type="dxa" w:w="1247"/>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L-r16-</w:t>
                          <w:br/>
                          <w:t>qkvo</w:t>
                        </w:r>
                      </w:p>
                    </w:tc>
                    <w:tc>
                      <w:tcPr>
                        <w:tcW w:type="dxa" w:w="1077"/>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L-r8-</w:t>
                          <w:br/>
                          <w:t>mlp</w:t>
                        </w:r>
                      </w:p>
                    </w:tc>
                    <w:tc>
                      <w:tcPr>
                        <w:tcW w:type="dxa" w:w="1077"/>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L-r8-qv</w:t>
                        </w:r>
                      </w:p>
                    </w:tc>
                    <w:tc>
                      <w:tcPr>
                        <w:tcW w:type="dxa" w:w="1191"/>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平均</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Random</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32.79</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31.74</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33.11</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31.97</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31.82</w:t>
                        </w:r>
                      </w:p>
                    </w:tc>
                    <w:tc>
                      <w:tcPr>
                        <w:tcW w:type="dxa" w:w="1191"/>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32.29</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RDS+</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35.27</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33.54</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35.00</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34.46</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33.91</w:t>
                        </w:r>
                      </w:p>
                    </w:tc>
                    <w:tc>
                      <w:tcPr>
                        <w:tcW w:type="dxa" w:w="1191"/>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34.44</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Influence</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35.08</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33.84</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35.24</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34.69</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34.53</w:t>
                        </w:r>
                      </w:p>
                    </w:tc>
                    <w:tc>
                      <w:tcPr>
                        <w:tcW w:type="dxa" w:w="1191"/>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34.68</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LESS</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35.52</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34.44</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35.80</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35.13</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34.80</w:t>
                        </w:r>
                      </w:p>
                    </w:tc>
                    <w:tc>
                      <w:tcPr>
                        <w:tcW w:type="dxa" w:w="1191"/>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35.14</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PCU-Select</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35.61</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34.60</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35.93</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34.56</w:t>
                        </w:r>
                      </w:p>
                    </w:tc>
                    <w:tc>
                      <w:tcPr>
                        <w:tcW w:type="dxa" w:w="107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35.18</w:t>
                        </w:r>
                      </w:p>
                    </w:tc>
                    <w:tc>
                      <w:tcPr>
                        <w:tcW w:type="dxa" w:w="1191"/>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35.18</w:t>
                        </w:r>
                      </w:p>
                    </w:tc>
                  </w:tr>
                </w:tbl>
                <w:p>
                  <w:pPr>
                    <w:spacing w:line="20" w:lineRule="exact"/>
                  </w:pPr>
                </w:p>
              </w:tc>
            </w:tr>
          </w:tbl>
          <w:p>
            <w:pPr>
              <w:keepNext w:val="0"/>
              <w:keepLines w:val="0"/>
              <w:pageBreakBefore w:val="0"/>
              <w:widowControl/>
              <w:snapToGrid w:val="0"/>
              <w:spacing w:before="0" w:after="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80" w:line="280" w:lineRule="exact"/>
              <w:ind w:firstLine="0" w:left="0" w:right="0"/>
              <w:jc w:val="both"/>
            </w:pPr>
            <w:r>
              <w:rPr>
                <w:rFonts w:ascii="Times New Roman" w:hAnsi="Times New Roman" w:eastAsia="宋体"/>
                <w:b w:val="0"/>
                <w:sz w:val="18"/>
              </w:rPr>
              <w:t>注：改编自论文正文主实验表，仅保留均值。每个配置列为四个任务原生百分制指标的等权平均，最后一列对五种配置取平均。</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表 1 中 PCU-Select 的总体平均为 35.18，LESS 为 35.14，两者相差 0.04 个指标点；相对 RDS+ 和 Influence 分别增加 0.74 和 0.50 个点。该结果支持在当前注册集合上“平均质量接近”的阶段性判断。配置间仍存在差异：例如在 L-r8-mlp 上，PCU-Select 为 34.56，低于 LESS 的 35.13，因此不能将宏平均接近解释为所有配置和任务均占优。</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3.3 实验二 跨配置复用与摊销成本</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本实验区分只支付一次的固定或共享成本，以及每新增一种 PEFT 配置的边际成本；每种配置均服务四个任务。除前述方法外，加入 Reuse-one-LESS：把一个来源配置选出的任务子集复用于所有目标配置，用于检验直接复用子集的质量代价。表 2 对照质量和选择成本，均排除共同的下游微调开销。</w:t>
            </w:r>
          </w:p>
          <w:p>
            <w:pPr>
              <w:keepNext/>
              <w:keepLines w:val="0"/>
              <w:pageBreakBefore w:val="0"/>
              <w:widowControl/>
              <w:snapToGrid w:val="0"/>
              <w:spacing w:before="80" w:after="80" w:line="320" w:lineRule="exact"/>
              <w:ind w:firstLine="0" w:left="0" w:right="0"/>
              <w:jc w:val="center"/>
            </w:pPr>
            <w:r>
              <w:rPr>
                <w:rFonts w:ascii="Times New Roman" w:hAnsi="Times New Roman" w:eastAsia="宋体"/>
                <w:b/>
                <w:sz w:val="21"/>
              </w:rPr>
              <w:t>表 2  五种已见配置的质量与选择成本</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left w:w="90" w:type="dxa"/>
                <w:bottom w:w="65" w:type="dxa"/>
                <w:right w:w="90" w:type="dxa"/>
              </w:tblCellMar>
              <w:tblLook w:firstColumn="1" w:firstRow="1" w:lastColumn="0" w:lastRow="0" w:noHBand="0" w:noVBand="1" w:val="04A0"/>
            </w:tblPr>
            <w:tblGrid>
              <w:gridCol w:w="2154"/>
              <w:gridCol w:w="1247"/>
              <w:gridCol w:w="1304"/>
              <w:gridCol w:w="1304"/>
              <w:gridCol w:w="1134"/>
              <w:gridCol w:w="1247"/>
            </w:tblGrid>
            <w:tr>
              <w:trPr>
                <w:tblHeader/>
                <w:cantSplit/>
              </w:trPr>
              <w:tc>
                <w:tcPr>
                  <w:tcW w:type="dxa" w:w="2154"/>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方法</w:t>
                  </w:r>
                </w:p>
              </w:tc>
              <w:tc>
                <w:tcPr>
                  <w:tcW w:type="dxa" w:w="1247"/>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固定/共享</w:t>
                    <w:br/>
                    <w:t>成本</w:t>
                  </w:r>
                </w:p>
              </w:tc>
              <w:tc>
                <w:tcPr>
                  <w:tcW w:type="dxa" w:w="1304"/>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新增配置</w:t>
                    <w:br/>
                    <w:t>成本</w:t>
                  </w:r>
                </w:p>
              </w:tc>
              <w:tc>
                <w:tcPr>
                  <w:tcW w:type="dxa" w:w="1304"/>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五配置</w:t>
                    <w:br/>
                    <w:t>总成本</w:t>
                  </w:r>
                </w:p>
              </w:tc>
              <w:tc>
                <w:tcPr>
                  <w:tcW w:type="dxa" w:w="1134"/>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质量</w:t>
                  </w:r>
                </w:p>
              </w:tc>
              <w:tc>
                <w:tcPr>
                  <w:tcW w:type="dxa" w:w="1247"/>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相对 LESS</w:t>
                    <w:br/>
                    <w:t>差值</w:t>
                  </w:r>
                </w:p>
              </w:tc>
            </w:tr>
            <w:tr>
              <w:trPr>
                <w:cantSplit/>
              </w:trPr>
              <w:tc>
                <w:tcPr>
                  <w:tcW w:type="dxa" w:w="215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Random</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w:t>
                  </w:r>
                </w:p>
              </w:tc>
              <w:tc>
                <w:tcPr>
                  <w:tcW w:type="dxa" w:w="113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32.29</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-2.85</w:t>
                  </w:r>
                </w:p>
              </w:tc>
            </w:tr>
            <w:tr>
              <w:trPr>
                <w:cantSplit/>
              </w:trPr>
              <w:tc>
                <w:tcPr>
                  <w:tcW w:type="dxa" w:w="215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RDS+</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1.6</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1.6</w:t>
                  </w:r>
                </w:p>
              </w:tc>
              <w:tc>
                <w:tcPr>
                  <w:tcW w:type="dxa" w:w="113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34.44</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-0.70</w:t>
                  </w:r>
                </w:p>
              </w:tc>
            </w:tr>
            <w:tr>
              <w:trPr>
                <w:cantSplit/>
              </w:trPr>
              <w:tc>
                <w:tcPr>
                  <w:tcW w:type="dxa" w:w="215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Influence</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48.8</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48.8</w:t>
                  </w:r>
                </w:p>
              </w:tc>
              <w:tc>
                <w:tcPr>
                  <w:tcW w:type="dxa" w:w="113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34.68</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-0.46</w:t>
                  </w:r>
                </w:p>
              </w:tc>
            </w:tr>
            <w:tr>
              <w:trPr>
                <w:cantSplit/>
              </w:trPr>
              <w:tc>
                <w:tcPr>
                  <w:tcW w:type="dxa" w:w="215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Reuse-one-LESS</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63.2</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63.2</w:t>
                  </w:r>
                </w:p>
              </w:tc>
              <w:tc>
                <w:tcPr>
                  <w:tcW w:type="dxa" w:w="113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34.24</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-0.90</w:t>
                  </w:r>
                </w:p>
              </w:tc>
            </w:tr>
            <w:tr>
              <w:trPr>
                <w:cantSplit/>
              </w:trPr>
              <w:tc>
                <w:tcPr>
                  <w:tcW w:type="dxa" w:w="215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LESS</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63.20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316.0</w:t>
                  </w:r>
                </w:p>
              </w:tc>
              <w:tc>
                <w:tcPr>
                  <w:tcW w:type="dxa" w:w="113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35.14</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0.00</w:t>
                  </w:r>
                </w:p>
              </w:tc>
            </w:tr>
            <w:tr>
              <w:trPr>
                <w:cantSplit/>
              </w:trPr>
              <w:tc>
                <w:tcPr>
                  <w:tcW w:type="dxa" w:w="215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PCU-Select</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144.0</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1.51</w:t>
                  </w:r>
                </w:p>
              </w:tc>
              <w:tc>
                <w:tcPr>
                  <w:tcW w:type="dxa" w:w="130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151.6</w:t>
                  </w:r>
                </w:p>
              </w:tc>
              <w:tc>
                <w:tcPr>
                  <w:tcW w:type="dxa" w:w="113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35.18</w:t>
                  </w:r>
                </w:p>
              </w:tc>
              <w:tc>
                <w:tcPr>
                  <w:tcW w:type="dxa" w:w="1247"/>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+0.04</w:t>
                  </w:r>
                </w:p>
              </w:tc>
            </w:tr>
          </w:tbl>
          <w:p>
            <w:pPr>
              <w:keepNext w:val="0"/>
              <w:keepLines w:val="0"/>
              <w:pageBreakBefore w:val="0"/>
              <w:widowControl/>
              <w:snapToGrid w:val="0"/>
              <w:spacing w:before="0" w:after="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80" w:line="280" w:lineRule="exact"/>
              <w:ind w:firstLine="0" w:left="0" w:right="0"/>
              <w:jc w:val="both"/>
            </w:pPr>
            <w:r>
              <w:rPr>
                <w:rFonts w:ascii="Times New Roman" w:hAnsi="Times New Roman" w:eastAsia="宋体"/>
                <w:b w:val="0"/>
                <w:sz w:val="18"/>
              </w:rPr>
              <w:t>注：改编自论文正文质量与成本表，成本单位为 GPU 小时；质量为四任务与五配置的宏平均，差值单位为指标点。该表按既定五配置、四任务集合计账。</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PCU-Select 将主要成本集中到共享离线阶段：一次性开销为 144.0 GPU 小时，新增四任务配置的成本为 1.51 GPU 小时；LESS 每个配置为 63.2 GPU 小时，边际选择成本比约为 42。Reuse-one-LESS 的质量为 34.24，低于 RDS+ 的 34.44，说明直接复用既有子集可能损失目标匹配性。PCU-Select 的复用对象是公共表征和评分器，目标配置仍保留各自子集。</w:t>
            </w:r>
          </w:p>
          <w:tbl>
            <w:tblPr>
              <w:tblW w:type="auto" w:w="0"/>
              <w:jc w:val="center"/>
              <w:tblBorders>
                <w:top w:val="nil"/>
                <w:left w:val="nil"/>
                <w:bottom w:val="nil"/>
                <w:right w:val="nil"/>
                <w:insideH w:val="nil"/>
                <w:insideV w:val="nil"/>
              </w:tblBorders>
              <w:tblLayout w:type="fixed"/>
              <w:tblCellMar>
                <w:top w:w="60" w:type="dxa"/>
                <w:left w:w="0" w:type="dxa"/>
                <w:bottom w:w="60" w:type="dxa"/>
                <w:right w:w="0" w:type="dxa"/>
              </w:tblCellMar>
              <w:tblLook w:firstColumn="1" w:firstRow="1" w:lastColumn="0" w:lastRow="0" w:noHBand="0" w:noVBand="1" w:val="04A0"/>
            </w:tblPr>
            <w:tblGrid>
              <w:gridCol w:w="425"/>
              <w:gridCol w:w="7654"/>
              <w:gridCol w:w="425"/>
            </w:tblGrid>
            <w:tr>
              <w:trPr>
                <w:cantSplit/>
              </w:trPr>
              <w:tc>
                <w:tcPr>
                  <w:tcW w:type="dxa" w:w="425"/>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w:p>
              </w:tc>
              <w:tc>
                <w:tcPr>
                  <w:tcW w:type="dxa" w:w="7654"/>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m:oMathPara>
                    <m:oMathParaPr>
                      <m:jc m:val="center"/>
                    </m:oMathParaPr>
                    <m:oMath>
                      <m:eqArr>
                        <m:eqArrPr>
                          <m:baseJc m:val="center"/>
                        </m:eqArrPr>
                        <m:e>
                          <m:sSub>
                            <m:e>
                              <m:r>
                                <m:rPr>
                                  <m:sty m:val="i"/>
                                </m:rPr>
                                <w:rPr>
                                  <w:rFonts w:ascii="STIX Two Math" w:hAnsi="STIX Two Math" w:eastAsia="STIX Two Math" w:cs="STIX Two Math"/>
                                  <w:i w:val="1"/>
                                  <w:iCs w:val="1"/>
                                  <w:sz w:val="22"/>
                                  <w:szCs w:val="22"/>
                                </w:rPr>
                                <m:t xml:space="preserve">C</m:t>
                              </m:r>
                            </m:e>
                            <m:sub>
                              <m:r>
                                <m:rPr>
                                  <m:nor/>
                                  <m:sty m:val="p"/>
                                </m:rPr>
                                <w:rPr>
                                  <w:rFonts w:ascii="STIX Two Math" w:hAnsi="STIX Two Math" w:eastAsia="STIX Two Math" w:cs="STIX Two Math"/>
                                  <w:i w:val="0"/>
                                  <w:iCs w:val="0"/>
                                  <w:sz w:val="22"/>
                                  <w:szCs w:val="22"/>
                                </w:rPr>
                                <m:t xml:space="preserve">PCU</m:t>
                              </m:r>
                            </m:sub>
                          </m:sSub>
                          <m:d>
                            <m:dPr>
                              <m:begChr m:val="("/>
                              <m:endChr m:val=")"/>
                            </m:dPr>
                            <m:e>
                              <m:r>
                                <m:rPr>
                                  <m:sty m:val="i"/>
                                </m:rPr>
                                <w:rPr>
                                  <w:rFonts w:ascii="STIX Two Math" w:hAnsi="STIX Two Math" w:eastAsia="STIX Two Math" w:cs="STIX Two Math"/>
                                  <w:i w:val="1"/>
                                  <w:iCs w:val="1"/>
                                  <w:sz w:val="22"/>
                                  <w:szCs w:val="22"/>
                                </w:rPr>
                                <m:t xml:space="preserve">P</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Q</m:t>
                              </m:r>
                            </m:e>
                          </m:d>
                          <m:r>
                            <m:rPr>
                              <m:sty m:val="p"/>
                            </m:rPr>
                            <w:rPr>
                              <w:rFonts w:ascii="STIX Two Math" w:hAnsi="STIX Two Math" w:eastAsia="STIX Two Math" w:cs="STIX Two Math"/>
                              <w:i w:val="0"/>
                              <w:iCs w:val="0"/>
                              <w:sz w:val="22"/>
                              <w:szCs w:val="22"/>
                            </w:rPr>
                            <m:t xml:space="preserve"> = </m:t>
                          </m:r>
                          <m:sSub>
                            <m:e>
                              <m:r>
                                <m:rPr>
                                  <m:sty m:val="i"/>
                                </m:rPr>
                                <w:rPr>
                                  <w:rFonts w:ascii="STIX Two Math" w:hAnsi="STIX Two Math" w:eastAsia="STIX Two Math" w:cs="STIX Two Math"/>
                                  <w:i w:val="1"/>
                                  <w:iCs w:val="1"/>
                                  <w:sz w:val="22"/>
                                  <w:szCs w:val="22"/>
                                </w:rPr>
                                <m:t xml:space="preserve">C</m:t>
                              </m:r>
                            </m:e>
                            <m:sub>
                              <m:r>
                                <m:rPr>
                                  <m:nor/>
                                  <m:sty m:val="p"/>
                                </m:rPr>
                                <w:rPr>
                                  <w:rFonts w:ascii="STIX Two Math" w:hAnsi="STIX Two Math" w:eastAsia="STIX Two Math" w:cs="STIX Two Math"/>
                                  <w:i w:val="0"/>
                                  <w:iCs w:val="0"/>
                                  <w:sz w:val="22"/>
                                  <w:szCs w:val="22"/>
                                </w:rPr>
                                <m:t xml:space="preserve">offline</m:t>
                              </m:r>
                            </m:sub>
                          </m:sSub>
                          <m:r>
                            <m:rPr>
                              <m:sty m:val="p"/>
                            </m:rPr>
                            <w:rPr>
                              <w:rFonts w:ascii="STIX Two Math" w:hAnsi="STIX Two Math" w:eastAsia="STIX Two Math" w:cs="STIX Two Math"/>
                              <w:i w:val="0"/>
                              <w:iCs w:val="0"/>
                              <w:sz w:val="22"/>
                              <w:szCs w:val="22"/>
                            </w:rPr>
                            <m:t xml:space="preserve"> + </m:t>
                          </m:r>
                          <m:r>
                            <m:rPr>
                              <m:sty m:val="i"/>
                            </m:rPr>
                            <w:rPr>
                              <w:rFonts w:ascii="STIX Two Math" w:hAnsi="STIX Two Math" w:eastAsia="STIX Two Math" w:cs="STIX Two Math"/>
                              <w:i w:val="1"/>
                              <w:iCs w:val="1"/>
                              <w:sz w:val="22"/>
                              <w:szCs w:val="22"/>
                            </w:rPr>
                            <m:t xml:space="preserve">PQ</m:t>
                          </m:r>
                          <m:sSubSup>
                            <m:e>
                              <m:r>
                                <m:rPr>
                                  <m:sty m:val="i"/>
                                </m:rPr>
                                <w:rPr>
                                  <w:rFonts w:ascii="STIX Two Math" w:hAnsi="STIX Two Math" w:eastAsia="STIX Two Math" w:cs="STIX Two Math"/>
                                  <w:i w:val="1"/>
                                  <w:iCs w:val="1"/>
                                  <w:sz w:val="22"/>
                                  <w:szCs w:val="22"/>
                                </w:rPr>
                                <m:t xml:space="preserve">C</m:t>
                              </m:r>
                            </m:e>
                            <m:sub>
                              <m:r>
                                <m:rPr>
                                  <m:nor/>
                                  <m:sty m:val="p"/>
                                </m:rPr>
                                <w:rPr>
                                  <w:rFonts w:ascii="STIX Two Math" w:hAnsi="STIX Two Math" w:eastAsia="STIX Two Math" w:cs="STIX Two Math"/>
                                  <w:i w:val="0"/>
                                  <w:iCs w:val="0"/>
                                  <w:sz w:val="22"/>
                                  <w:szCs w:val="22"/>
                                </w:rPr>
                                <m:t xml:space="preserve">PCU</m:t>
                              </m:r>
                            </m:sub>
                            <m:sup>
                              <m:r>
                                <m:rPr>
                                  <m:nor/>
                                  <m:sty m:val="p"/>
                                </m:rPr>
                                <w:rPr>
                                  <w:rFonts w:ascii="STIX Two Math" w:hAnsi="STIX Two Math" w:eastAsia="STIX Two Math" w:cs="STIX Two Math"/>
                                  <w:i w:val="0"/>
                                  <w:iCs w:val="0"/>
                                  <w:sz w:val="22"/>
                                  <w:szCs w:val="22"/>
                                </w:rPr>
                                <m:t xml:space="preserve">pair</m:t>
                              </m:r>
                            </m:sup>
                          </m:sSubSup>
                        </m:e>
                        <m:e>
                          <m:sSub>
                            <m:e>
                              <m:r>
                                <m:rPr>
                                  <m:sty m:val="i"/>
                                </m:rPr>
                                <w:rPr>
                                  <w:rFonts w:ascii="STIX Two Math" w:hAnsi="STIX Two Math" w:eastAsia="STIX Two Math" w:cs="STIX Two Math"/>
                                  <w:i w:val="1"/>
                                  <w:iCs w:val="1"/>
                                  <w:sz w:val="22"/>
                                  <w:szCs w:val="22"/>
                                </w:rPr>
                                <m:t xml:space="preserve">C</m:t>
                              </m:r>
                            </m:e>
                            <m:sub>
                              <m:r>
                                <m:rPr>
                                  <m:nor/>
                                  <m:sty m:val="p"/>
                                </m:rPr>
                                <w:rPr>
                                  <w:rFonts w:ascii="STIX Two Math" w:hAnsi="STIX Two Math" w:eastAsia="STIX Two Math" w:cs="STIX Two Math"/>
                                  <w:i w:val="0"/>
                                  <w:iCs w:val="0"/>
                                  <w:sz w:val="22"/>
                                  <w:szCs w:val="22"/>
                                </w:rPr>
                                <m:t xml:space="preserve">LESS</m:t>
                              </m:r>
                            </m:sub>
                          </m:sSub>
                          <m:d>
                            <m:dPr>
                              <m:begChr m:val="("/>
                              <m:endChr m:val=")"/>
                            </m:dPr>
                            <m:e>
                              <m:r>
                                <m:rPr>
                                  <m:sty m:val="i"/>
                                </m:rPr>
                                <w:rPr>
                                  <w:rFonts w:ascii="STIX Two Math" w:hAnsi="STIX Two Math" w:eastAsia="STIX Two Math" w:cs="STIX Two Math"/>
                                  <w:i w:val="1"/>
                                  <w:iCs w:val="1"/>
                                  <w:sz w:val="22"/>
                                  <w:szCs w:val="22"/>
                                </w:rPr>
                                <m:t xml:space="preserve">P</m:t>
                              </m:r>
                              <m:r>
                                <m:rPr>
                                  <m:sty m:val="p"/>
                                </m:rPr>
                                <w:rPr>
                                  <w:rFonts w:ascii="STIX Two Math" w:hAnsi="STIX Two Math" w:eastAsia="STIX Two Math" w:cs="STIX Two Math"/>
                                  <w:i w:val="0"/>
                                  <w:iCs w:val="0"/>
                                  <w:sz w:val="22"/>
                                  <w:szCs w:val="22"/>
                                </w:rPr>
                                <m:t xml:space="preserve">,</m:t>
                              </m:r>
                              <m:r>
                                <m:rPr>
                                  <m:sty m:val="i"/>
                                </m:rPr>
                                <w:rPr>
                                  <w:rFonts w:ascii="STIX Two Math" w:hAnsi="STIX Two Math" w:eastAsia="STIX Two Math" w:cs="STIX Two Math"/>
                                  <w:i w:val="1"/>
                                  <w:iCs w:val="1"/>
                                  <w:sz w:val="22"/>
                                  <w:szCs w:val="22"/>
                                </w:rPr>
                                <m:t xml:space="preserve">Q</m:t>
                              </m:r>
                            </m:e>
                          </m:d>
                          <m:r>
                            <m:rPr>
                              <m:sty m:val="p"/>
                            </m:rPr>
                            <w:rPr>
                              <w:rFonts w:ascii="STIX Two Math" w:hAnsi="STIX Two Math" w:eastAsia="STIX Two Math" w:cs="STIX Two Math"/>
                              <w:i w:val="0"/>
                              <w:iCs w:val="0"/>
                              <w:sz w:val="22"/>
                              <w:szCs w:val="22"/>
                            </w:rPr>
                            <m:t xml:space="preserve"> = </m:t>
                          </m:r>
                          <m:r>
                            <m:rPr>
                              <m:sty m:val="i"/>
                            </m:rPr>
                            <w:rPr>
                              <w:rFonts w:ascii="STIX Two Math" w:hAnsi="STIX Two Math" w:eastAsia="STIX Two Math" w:cs="STIX Two Math"/>
                              <w:i w:val="1"/>
                              <w:iCs w:val="1"/>
                              <w:sz w:val="22"/>
                              <w:szCs w:val="22"/>
                            </w:rPr>
                            <m:t xml:space="preserve">P</m:t>
                          </m:r>
                          <m:sSubSup>
                            <m:e>
                              <m:r>
                                <m:rPr>
                                  <m:sty m:val="i"/>
                                </m:rPr>
                                <w:rPr>
                                  <w:rFonts w:ascii="STIX Two Math" w:hAnsi="STIX Two Math" w:eastAsia="STIX Two Math" w:cs="STIX Two Math"/>
                                  <w:i w:val="1"/>
                                  <w:iCs w:val="1"/>
                                  <w:sz w:val="22"/>
                                  <w:szCs w:val="22"/>
                                </w:rPr>
                                <m:t xml:space="preserve">C</m:t>
                              </m:r>
                            </m:e>
                            <m:sub>
                              <m:r>
                                <m:rPr>
                                  <m:nor/>
                                  <m:sty m:val="p"/>
                                </m:rPr>
                                <w:rPr>
                                  <w:rFonts w:ascii="STIX Two Math" w:hAnsi="STIX Two Math" w:eastAsia="STIX Two Math" w:cs="STIX Two Math"/>
                                  <w:i w:val="0"/>
                                  <w:iCs w:val="0"/>
                                  <w:sz w:val="22"/>
                                  <w:szCs w:val="22"/>
                                </w:rPr>
                                <m:t xml:space="preserve">LESS</m:t>
                              </m:r>
                            </m:sub>
                            <m:sup>
                              <m:r>
                                <m:rPr>
                                  <m:nor/>
                                  <m:sty m:val="p"/>
                                </m:rPr>
                                <w:rPr>
                                  <w:rFonts w:ascii="STIX Two Math" w:hAnsi="STIX Two Math" w:eastAsia="STIX Two Math" w:cs="STIX Two Math"/>
                                  <w:i w:val="0"/>
                                  <w:iCs w:val="0"/>
                                  <w:sz w:val="22"/>
                                  <w:szCs w:val="22"/>
                                </w:rPr>
                                <m:t xml:space="preserve">data</m:t>
                              </m:r>
                            </m:sup>
                          </m:sSubSup>
                          <m:r>
                            <m:rPr>
                              <m:sty m:val="p"/>
                            </m:rPr>
                            <w:rPr>
                              <w:rFonts w:ascii="STIX Two Math" w:hAnsi="STIX Two Math" w:eastAsia="STIX Two Math" w:cs="STIX Two Math"/>
                              <w:i w:val="0"/>
                              <w:iCs w:val="0"/>
                              <w:sz w:val="22"/>
                              <w:szCs w:val="22"/>
                            </w:rPr>
                            <m:t xml:space="preserve"> + </m:t>
                          </m:r>
                          <m:r>
                            <m:rPr>
                              <m:sty m:val="i"/>
                            </m:rPr>
                            <w:rPr>
                              <w:rFonts w:ascii="STIX Two Math" w:hAnsi="STIX Two Math" w:eastAsia="STIX Two Math" w:cs="STIX Two Math"/>
                              <w:i w:val="1"/>
                              <w:iCs w:val="1"/>
                              <w:sz w:val="22"/>
                              <w:szCs w:val="22"/>
                            </w:rPr>
                            <m:t xml:space="preserve">PQ</m:t>
                          </m:r>
                          <m:sSubSup>
                            <m:e>
                              <m:r>
                                <m:rPr>
                                  <m:sty m:val="i"/>
                                </m:rPr>
                                <w:rPr>
                                  <w:rFonts w:ascii="STIX Two Math" w:hAnsi="STIX Two Math" w:eastAsia="STIX Two Math" w:cs="STIX Two Math"/>
                                  <w:i w:val="1"/>
                                  <w:iCs w:val="1"/>
                                  <w:sz w:val="22"/>
                                  <w:szCs w:val="22"/>
                                </w:rPr>
                                <m:t xml:space="preserve">C</m:t>
                              </m:r>
                            </m:e>
                            <m:sub>
                              <m:r>
                                <m:rPr>
                                  <m:nor/>
                                  <m:sty m:val="p"/>
                                </m:rPr>
                                <w:rPr>
                                  <w:rFonts w:ascii="STIX Two Math" w:hAnsi="STIX Two Math" w:eastAsia="STIX Two Math" w:cs="STIX Two Math"/>
                                  <w:i w:val="0"/>
                                  <w:iCs w:val="0"/>
                                  <w:sz w:val="22"/>
                                  <w:szCs w:val="22"/>
                                </w:rPr>
                                <m:t xml:space="preserve">LESS</m:t>
                              </m:r>
                            </m:sub>
                            <m:sup>
                              <m:r>
                                <m:rPr>
                                  <m:nor/>
                                  <m:sty m:val="p"/>
                                </m:rPr>
                                <w:rPr>
                                  <w:rFonts w:ascii="STIX Two Math" w:hAnsi="STIX Two Math" w:eastAsia="STIX Two Math" w:cs="STIX Two Math"/>
                                  <w:i w:val="0"/>
                                  <w:iCs w:val="0"/>
                                  <w:sz w:val="22"/>
                                  <w:szCs w:val="22"/>
                                </w:rPr>
                                <m:t xml:space="preserve">rank</m:t>
                              </m:r>
                            </m:sup>
                          </m:sSubSup>
                        </m:e>
                      </m:eqArr>
                    </m:oMath>
                  </m:oMathPara>
                </w:p>
              </w:tc>
              <w:tc>
                <w:tcPr>
                  <w:tcW w:type="dxa" w:w="425"/>
                  <w:vAlign w:val="center"/>
                </w:tcPr>
                <w:p>
                  <w:pPr>
                    <w:keepNext w:val="0"/>
                    <w:keepLines/>
                    <w:pageBreakBefore w:val="0"/>
                    <w:widowControl/>
                    <w:snapToGrid w:val="0"/>
                    <w:spacing w:before="0" w:after="0" w:line="276" w:lineRule="auto"/>
                    <w:ind w:firstLine="0" w:left="0" w:right="0"/>
                    <w:jc w:val="right"/>
                  </w:pPr>
                  <w:r>
                    <w:rPr>
                      <w:rFonts w:ascii="Times New Roman" w:hAnsi="Times New Roman" w:eastAsia="宋体"/>
                      <w:b w:val="0"/>
                      <w:sz w:val="21"/>
                    </w:rPr>
                  </w:r>
                  <w:r>
                    <w:rPr>
                      <w:rFonts w:ascii="Times New Roman" w:hAnsi="Times New Roman" w:eastAsia="宋体"/>
                      <w:b w:val="0"/>
                      <w:sz w:val="21"/>
                    </w:rPr>
                    <w:t>(6)</w:t>
                  </w:r>
                </w:p>
              </w:tc>
            </w:tr>
          </w:tbl>
          <w:p>
            <w:pPr>
              <w:keepNext w:val="0"/>
              <w:keepLines w:val="0"/>
              <w:pageBreakBefore w:val="0"/>
              <w:widowControl/>
              <w:snapToGrid w:val="0"/>
              <w:spacing w:before="0" w:after="4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式（6）表示累计选择成本，P 为配置数，Q 为任务数；offline 表示共享离线开销，pair 为一次配置—任务组合的评分与选数成本，data 和 rank 分别表示 LESS 的建库及任务排名成本。固定 Q=4 且目标无须额外校准时，累计成本为 144+1.51P 与 63.2P，其交点为：</w:t>
            </w:r>
          </w:p>
          <w:tbl>
            <w:tblPr>
              <w:tblW w:type="auto" w:w="0"/>
              <w:jc w:val="center"/>
              <w:tblBorders>
                <w:top w:val="nil"/>
                <w:left w:val="nil"/>
                <w:bottom w:val="nil"/>
                <w:right w:val="nil"/>
                <w:insideH w:val="nil"/>
                <w:insideV w:val="nil"/>
              </w:tblBorders>
              <w:tblLayout w:type="fixed"/>
              <w:tblCellMar>
                <w:top w:w="60" w:type="dxa"/>
                <w:left w:w="0" w:type="dxa"/>
                <w:bottom w:w="60" w:type="dxa"/>
                <w:right w:w="0" w:type="dxa"/>
              </w:tblCellMar>
              <w:tblLook w:firstColumn="1" w:firstRow="1" w:lastColumn="0" w:lastRow="0" w:noHBand="0" w:noVBand="1" w:val="04A0"/>
            </w:tblPr>
            <w:tblGrid>
              <w:gridCol w:w="425"/>
              <w:gridCol w:w="7654"/>
              <w:gridCol w:w="425"/>
            </w:tblGrid>
            <w:tr>
              <w:trPr>
                <w:cantSplit/>
              </w:trPr>
              <w:tc>
                <w:tcPr>
                  <w:tcW w:type="dxa" w:w="425"/>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w:p>
              </w:tc>
              <w:tc>
                <w:tcPr>
                  <w:tcW w:type="dxa" w:w="7654"/>
                  <w:vAlign w:val="center"/>
                </w:tcPr>
                <w:p>
                  <w:pPr>
                    <w:keepNext w:val="0"/>
                    <w:keepLines/>
                    <w:pageBreakBefore w:val="0"/>
                    <w:widowControl/>
                    <w:snapToGrid w:val="0"/>
                    <w:spacing w:before="0" w:after="0" w:line="276" w:lineRule="auto"/>
                    <w:ind w:firstLine="0" w:left="0" w:right="0"/>
                    <w:jc w:val="center"/>
                  </w:pPr>
                  <w:r>
                    <w:rPr>
                      <w:rFonts w:ascii="Times New Roman" w:hAnsi="Times New Roman" w:eastAsia="宋体"/>
                      <w:b w:val="0"/>
                      <w:sz w:val="21"/>
                    </w:rPr>
                  </w:r>
                  <m:oMathPara>
                    <m:oMathParaPr>
                      <m:jc m:val="center"/>
                    </m:oMathParaPr>
                    <m:oMath>
                      <m:sSup>
                        <m:e>
                          <m:r>
                            <m:rPr>
                              <m:sty m:val="i"/>
                            </m:rPr>
                            <w:rPr>
                              <w:rFonts w:ascii="STIX Two Math" w:hAnsi="STIX Two Math" w:eastAsia="STIX Two Math" w:cs="STIX Two Math"/>
                              <w:i w:val="1"/>
                              <w:iCs w:val="1"/>
                              <w:sz w:val="22"/>
                              <w:szCs w:val="22"/>
                            </w:rPr>
                            <m:t xml:space="preserve">P</m:t>
                          </m:r>
                        </m:e>
                        <m:sup>
                          <m:r>
                            <m:rPr>
                              <m:sty m:val="p"/>
                            </m:rPr>
                            <w:rPr>
                              <w:rFonts w:ascii="STIX Two Math" w:hAnsi="STIX Two Math" w:eastAsia="STIX Two Math" w:cs="STIX Two Math"/>
                              <w:i w:val="0"/>
                              <w:iCs w:val="0"/>
                              <w:sz w:val="22"/>
                              <w:szCs w:val="22"/>
                            </w:rPr>
                            <m:t xml:space="preserve">*</m:t>
                          </m:r>
                        </m:sup>
                      </m:sSup>
                      <m:r>
                        <m:rPr>
                          <m:sty m:val="p"/>
                        </m:rPr>
                        <w:rPr>
                          <w:rFonts w:ascii="STIX Two Math" w:hAnsi="STIX Two Math" w:eastAsia="STIX Two Math" w:cs="STIX Two Math"/>
                          <w:i w:val="0"/>
                          <w:iCs w:val="0"/>
                          <w:sz w:val="22"/>
                          <w:szCs w:val="22"/>
                        </w:rPr>
                        <m:t xml:space="preserve"> = </m:t>
                      </m:r>
                      <m:f>
                        <m:num>
                          <m:r>
                            <m:rPr>
                              <m:sty m:val="p"/>
                            </m:rPr>
                            <w:rPr>
                              <w:rFonts w:ascii="STIX Two Math" w:hAnsi="STIX Two Math" w:eastAsia="STIX Two Math" w:cs="STIX Two Math"/>
                              <w:i w:val="0"/>
                              <w:iCs w:val="0"/>
                              <w:sz w:val="22"/>
                              <w:szCs w:val="22"/>
                            </w:rPr>
                            <m:t xml:space="preserve">144</m:t>
                          </m:r>
                        </m:num>
                        <m:den>
                          <m:r>
                            <m:rPr>
                              <m:sty m:val="p"/>
                            </m:rPr>
                            <w:rPr>
                              <w:rFonts w:ascii="STIX Two Math" w:hAnsi="STIX Two Math" w:eastAsia="STIX Two Math" w:cs="STIX Two Math"/>
                              <w:i w:val="0"/>
                              <w:iCs w:val="0"/>
                              <w:sz w:val="22"/>
                              <w:szCs w:val="22"/>
                            </w:rPr>
                            <m:t xml:space="preserve">63.2−1.51</m:t>
                          </m:r>
                        </m:den>
                      </m:f>
                      <m:r>
                        <m:rPr>
                          <m:sty m:val="p"/>
                        </m:rPr>
                        <w:rPr>
                          <w:rFonts w:ascii="STIX Two Math" w:hAnsi="STIX Two Math" w:eastAsia="STIX Two Math" w:cs="STIX Two Math"/>
                          <w:i w:val="0"/>
                          <w:iCs w:val="0"/>
                          <w:sz w:val="22"/>
                          <w:szCs w:val="22"/>
                        </w:rPr>
                        <m:t xml:space="preserve">≈2.33</m:t>
                      </m:r>
                    </m:oMath>
                  </m:oMathPara>
                </w:p>
              </w:tc>
              <w:tc>
                <w:tcPr>
                  <w:tcW w:type="dxa" w:w="425"/>
                  <w:vAlign w:val="center"/>
                </w:tcPr>
                <w:p>
                  <w:pPr>
                    <w:keepNext w:val="0"/>
                    <w:keepLines/>
                    <w:pageBreakBefore w:val="0"/>
                    <w:widowControl/>
                    <w:snapToGrid w:val="0"/>
                    <w:spacing w:before="0" w:after="0" w:line="276" w:lineRule="auto"/>
                    <w:ind w:firstLine="0" w:left="0" w:right="0"/>
                    <w:jc w:val="right"/>
                  </w:pPr>
                  <w:r>
                    <w:rPr>
                      <w:rFonts w:ascii="Times New Roman" w:hAnsi="Times New Roman" w:eastAsia="宋体"/>
                      <w:b w:val="0"/>
                      <w:sz w:val="21"/>
                    </w:rPr>
                  </w:r>
                  <w:r>
                    <w:rPr>
                      <w:rFonts w:ascii="Times New Roman" w:hAnsi="Times New Roman" w:eastAsia="宋体"/>
                      <w:b w:val="0"/>
                      <w:sz w:val="21"/>
                    </w:rPr>
                    <w:t>(7)</w:t>
                  </w:r>
                </w:p>
              </w:tc>
            </w:tr>
          </w:tbl>
          <w:p>
            <w:pPr>
              <w:keepNext w:val="0"/>
              <w:keepLines w:val="0"/>
              <w:pageBreakBefore w:val="0"/>
              <w:widowControl/>
              <w:snapToGrid w:val="0"/>
              <w:spacing w:before="0" w:after="4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因此，按上述成本模型，从第三种配置开始体现摊销收益；服务五种配置时，累计选择成本分别为 151.6 与 316.0 GPU 小时，成本比约为 2.09。若仅向已有配置增加一个任务，PCU-Select 与 LESS 分别为约 0.38 和 0.30 GPU 小时，收益主要来自跨配置复用。若每个新配置的四个任务均需 500 条标签校准，则每配置另加 4.2 GPU 小时，交点移至约 2.50。上述倍数均不代表端到端训练加速。</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3.4 实验三 未见配置上的少量标签校准</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本实验检查评分器超出训练注册范围后的适用边界。评测前按结构支持程度分组：L0 接近已见配置，L1 为同一家族内的较大结构变化，L2 为未见家族。图 3 汇总各组目标在 GSM8K、HumanEval 和 MMLU 三个任务上的平均差距，纵轴为 LESS 减去 PCU-Select 的分数，数值越小越好。</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Cal-200 和 Cal-500 分别使用 200 条与 500 条目标配置—任务标签，冻结共享评分器，仅拟合零初始化的线性残差头。每条标签只使用一个已适应检查点和一步更新，对应成本分别为每个配置—任务 0.42 与 1.05 GPU 小时。该设计检验少量局部监督能否修正超出注册范围后的排序偏差。</w:t>
            </w:r>
          </w:p>
          <w:tbl>
            <w:tblPr>
              <w:tblW w:type="auto" w:w="0"/>
              <w:jc w:val="center"/>
              <w:tblBorders>
                <w:top w:val="nil"/>
                <w:left w:val="nil"/>
                <w:bottom w:val="nil"/>
                <w:right w:val="nil"/>
                <w:insideH w:val="nil"/>
                <w:insideV w:val="nil"/>
              </w:tblBorders>
              <w:tblLayout w:type="fixed"/>
              <w:tblCellMar>
                <w:top w:w="30" w:type="dxa"/>
                <w:left w:w="0" w:type="dxa"/>
                <w:bottom w:w="30" w:type="dxa"/>
                <w:right w:w="0" w:type="dxa"/>
              </w:tblCellMar>
              <w:tblLook w:firstColumn="1" w:firstRow="1" w:lastColumn="0" w:lastRow="0" w:noHBand="0" w:noVBand="1" w:val="04A0"/>
            </w:tblPr>
            <w:tblGrid>
              <w:gridCol w:w="8504"/>
            </w:tblGrid>
            <w:tr>
              <w:trPr>
                <w:cantSplit/>
              </w:trPr>
              <w:tc>
                <w:tcPr>
                  <w:tcW w:type="dxa" w:w="8504"/>
                </w:tcPr>
                <w:p>
                  <w:pPr>
                    <w:keepNext/>
                    <w:keepLines/>
                    <w:pageBreakBefore w:val="0"/>
                    <w:widowControl/>
                    <w:snapToGrid w:val="0"/>
                    <w:spacing w:before="0" w:after="60" w:line="240" w:lineRule="auto"/>
                    <w:ind w:firstLine="0" w:left="0" w:right="0"/>
                    <w:jc w:val="center"/>
                  </w:pPr>
                  <w:r>
                    <w:rPr>
                      <w:rFonts w:ascii="Times New Roman" w:hAnsi="Times New Roman" w:eastAsia="宋体"/>
                      <w:b w:val="0"/>
                      <w:sz w:val="21"/>
                    </w:rPr>
                  </w:r>
                  <w:r>
                    <w:drawing>
                      <wp:inline xmlns:a="http://schemas.openxmlformats.org/drawingml/2006/main" xmlns:pic="http://schemas.openxmlformats.org/drawingml/2006/picture">
                        <wp:extent cx="3708000" cy="2096873"/>
                        <wp:docPr id="6" name="Picture 6" descr="图 3  注册范围外配置的校准结果（差距越小越好）"/>
                        <wp:cNvGraphicFramePr>
                          <a:graphicFrameLocks noChangeAspect="1"/>
                        </wp:cNvGraphicFramePr>
                        <a:graphic>
                          <a:graphicData uri="http://schemas.openxmlformats.org/drawingml/2006/picture">
                            <pic:pic>
                              <pic:nvPicPr>
                                <pic:cNvPr id="0" name="calibration.png"/>
                                <pic:cNvPicPr/>
                              </pic:nvPicPr>
                              <pic:blipFill>
                                <a:blip r:embed="rId12"/>
                                <a:stretch>
                                  <a:fillRect/>
                                </a:stretch>
                              </pic:blipFill>
                              <pic:spPr>
                                <a:xfrm>
                                  <a:off x="0" y="0"/>
                                  <a:ext cx="3708000" cy="2096873"/>
                                </a:xfrm>
                                <a:prstGeom prst="rect"/>
                              </pic:spPr>
                            </pic:pic>
                          </a:graphicData>
                        </a:graphic>
                      </wp:inline>
                    </w:drawing>
                  </w:r>
                </w:p>
                <w:p>
                  <w:pPr>
                    <w:keepNext w:val="0"/>
                    <w:keepLines w:val="0"/>
                    <w:pageBreakBefore w:val="0"/>
                    <w:widowControl/>
                    <w:snapToGrid w:val="0"/>
                    <w:spacing w:before="0" w:after="0" w:line="280" w:lineRule="exact"/>
                    <w:ind w:firstLine="0" w:left="0" w:right="0"/>
                    <w:jc w:val="center"/>
                  </w:pPr>
                  <w:r>
                    <w:rPr>
                      <w:rFonts w:ascii="Times New Roman" w:hAnsi="Times New Roman" w:eastAsia="宋体"/>
                      <w:b w:val="0"/>
                      <w:sz w:val="19"/>
                    </w:rPr>
                    <w:t>图 3  注册范围外配置的校准结果（差距越小越好）</w:t>
                  </w:r>
                </w:p>
              </w:tc>
            </w:tr>
          </w:tbl>
          <w:p>
            <w:pPr>
              <w:keepNext w:val="0"/>
              <w:keepLines w:val="0"/>
              <w:pageBreakBefore w:val="0"/>
              <w:widowControl/>
              <w:snapToGrid w:val="0"/>
              <w:spacing w:before="0" w:after="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80" w:line="280" w:lineRule="exact"/>
              <w:ind w:firstLine="0" w:left="0" w:right="0"/>
              <w:jc w:val="both"/>
            </w:pPr>
            <w:r>
              <w:rPr>
                <w:rFonts w:ascii="Times New Roman" w:hAnsi="Times New Roman" w:eastAsia="宋体"/>
                <w:b w:val="0"/>
                <w:sz w:val="18"/>
              </w:rPr>
              <w:t>注：图源为论文正文，汇总三个任务。L0 未报告校准结果，图中空缺不表示零差距。</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当前稿件中，L0 的直接评分差距为 0.34 个点；L1 由 2.08 经 Cal-200 降至 0.91，再经 Cal-500 降至 0.30。Prefix/P-Tuning 由 6.97 降至 2.17 和 1.99，增加 300 条标签仅再改善 0.18 个点。该趋势表明，同家族偏移可通过少量校准缩小差距，跨家族目标仍可能保留较大误差，需结合结构支持、校准成本和目标质量选择使用范围。</w:t>
            </w:r>
          </w:p>
          <w:p>
            <w:pPr>
              <w:keepNext/>
              <w:keepLines w:val="0"/>
              <w:pageBreakBefore w:val="0"/>
              <w:widowControl/>
              <w:snapToGrid w:val="0"/>
              <w:spacing w:before="600" w:after="100" w:line="360" w:lineRule="exact"/>
              <w:ind w:firstLine="0" w:left="0" w:right="0"/>
              <w:jc w:val="both"/>
            </w:pPr>
            <w:r>
              <w:rPr>
                <w:rFonts w:ascii="Times New Roman" w:hAnsi="Times New Roman" w:eastAsia="宋体"/>
                <w:b/>
                <w:sz w:val="21"/>
              </w:rPr>
              <w:t>4 总结</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4.1 研究总结与不足</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本文围绕多配置数据选择中的目标针对性与重复计算问题，构建了共享位点、多保真监督和条件评分相结合的 PCU-Select 方法，并通过聚类配额兼顾样本效用与语义覆盖。论文已形成方法与实验分析框架，实验结果按任务、配置和训练种子汇总。方法的复用范围受骨干、表征及配置兼容性约束：接近已见结构的配置可直接评分；较大结构偏移需要兼容标签进行校准，否则采用逐目标选择方法。后续将重点复核任务差异、预算敏感性及额外校准成本，明确质量与成本结论的适用条件。</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下一阶段将整理动机分析、校准与正文实验的运行记录，使背景假设、方法设计与实验结论逐项对应。</w:t>
            </w:r>
          </w:p>
          <w:p>
            <w:pPr>
              <w:keepNext/>
              <w:keepLines w:val="0"/>
              <w:pageBreakBefore w:val="0"/>
              <w:widowControl/>
              <w:snapToGrid w:val="0"/>
              <w:spacing w:before="140" w:after="80" w:line="340" w:lineRule="exact"/>
              <w:ind w:firstLine="0" w:left="0" w:right="0"/>
              <w:jc w:val="both"/>
            </w:pPr>
            <w:r>
              <w:rPr>
                <w:rFonts w:ascii="Times New Roman" w:hAnsi="Times New Roman" w:eastAsia="宋体"/>
                <w:b/>
                <w:sz w:val="21"/>
              </w:rPr>
              <w:t>4.2 后续研究计划</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第二项工作拟研究“基于 PCU-Select 的多配置数据选择与微调实验管理系统”，复用现有评分器、特征缓存、PEFT 编码和选数算法，研究两项工程机制。分层缓存与增量复用以内容摘要、模型与评分器版本、预处理、种子、候选顺序和校验值描述依赖，输入变化时仅重算受影响产物。预算变化复用评分与聚类；仅训练种子变化复用子集；候选追加仅补算兼容特征与逐样本评分，但重新计算完整池聚类及配额。</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公共计算去重与阶段恢复将实验拆为依赖节点，相同输入只执行一次，并通过原子写入、完成标记和独立目录保证产物隔离，支持中断后的阶段级恢复。首版固定评分器版本，采用单工作节点、任务队列、元数据索引和本地产物库，并提供简洁控制台，支持提交实验矩阵、查看复用计划及导出报告。以两种配置、两个任务、三个预算、两个训练种子构成的 24 次训练为例，计划共享四份评分和一份聚类，生成十二份子集。验证将比较现有脚本、依赖缓存和完整系统，先检查复用与全量重算的一致性，再测量计算量、时间、存储及恢复开销，不将公共节点减少量直接解释为训练加速。</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后续八周按下表推进系统实现与验证，同时完善工作一的实验记录、独立重复结果和学位论文相关章节。</w:t>
            </w:r>
          </w:p>
          <w:p>
            <w:pPr>
              <w:keepNext/>
              <w:keepLines w:val="0"/>
              <w:pageBreakBefore w:val="0"/>
              <w:widowControl/>
              <w:snapToGrid w:val="0"/>
              <w:spacing w:before="80" w:after="80" w:line="320" w:lineRule="exact"/>
              <w:ind w:firstLine="0" w:left="0" w:right="0"/>
              <w:jc w:val="center"/>
            </w:pPr>
            <w:r>
              <w:rPr>
                <w:rFonts w:ascii="Times New Roman" w:hAnsi="Times New Roman" w:eastAsia="宋体"/>
                <w:b/>
                <w:sz w:val="21"/>
              </w:rPr>
              <w:t>表 3  后续八周研究计划（2026 年）</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left w:w="90" w:type="dxa"/>
                <w:bottom w:w="65" w:type="dxa"/>
                <w:right w:w="90" w:type="dxa"/>
              </w:tblCellMar>
              <w:tblLook w:firstColumn="1" w:firstRow="1" w:lastColumn="0" w:lastRow="0" w:noHBand="0" w:noVBand="1" w:val="04A0"/>
            </w:tblPr>
            <w:tblGrid>
              <w:gridCol w:w="1474"/>
              <w:gridCol w:w="3742"/>
              <w:gridCol w:w="3402"/>
            </w:tblGrid>
            <w:tr>
              <w:trPr>
                <w:tblHeader/>
                <w:cantSplit/>
              </w:trPr>
              <w:tc>
                <w:tcPr>
                  <w:tcW w:type="dxa" w:w="1474"/>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时间</w:t>
                  </w:r>
                </w:p>
              </w:tc>
              <w:tc>
                <w:tcPr>
                  <w:tcW w:type="dxa" w:w="3742"/>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主要研究内容</w:t>
                  </w:r>
                </w:p>
              </w:tc>
              <w:tc>
                <w:tcPr>
                  <w:tcW w:type="dxa" w:w="3402"/>
                  <w:shd w:fill="F2F2F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sz w:val="20"/>
                    </w:rPr>
                    <w:t>阶段产出</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9.14—9.27</w:t>
                  </w:r>
                </w:p>
              </w:tc>
              <w:tc>
                <w:tcPr>
                  <w:tcW w:type="dxa" w:w="3742"/>
                  <w:vAlign w:val="center"/>
                </w:tcPr>
                <w:p>
                  <w:pPr>
                    <w:keepNext w:val="0"/>
                    <w:keepLines w:val="0"/>
                    <w:pageBreakBefore w:val="0"/>
                    <w:widowControl/>
                    <w:snapToGrid w:val="0"/>
                    <w:spacing w:before="0" w:after="0" w:line="300" w:lineRule="exact"/>
                    <w:ind w:firstLine="0" w:left="0" w:right="0"/>
                    <w:jc w:val="left"/>
                  </w:pPr>
                  <w:r>
                    <w:rPr>
                      <w:rFonts w:ascii="Times New Roman" w:hAnsi="Times New Roman" w:eastAsia="宋体"/>
                      <w:b w:val="0"/>
                      <w:sz w:val="20"/>
                    </w:rPr>
                    <w:t>统一算法接口，设计产物依赖与元数据，复核论文实验记录。</w:t>
                  </w:r>
                </w:p>
              </w:tc>
              <w:tc>
                <w:tcPr>
                  <w:tcW w:type="dxa" w:w="340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依赖规范、最小执行流程及结果核验清单。</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9.28—10.11</w:t>
                  </w:r>
                </w:p>
              </w:tc>
              <w:tc>
                <w:tcPr>
                  <w:tcW w:type="dxa" w:w="3742"/>
                  <w:vAlign w:val="center"/>
                </w:tcPr>
                <w:p>
                  <w:pPr>
                    <w:keepNext w:val="0"/>
                    <w:keepLines w:val="0"/>
                    <w:pageBreakBefore w:val="0"/>
                    <w:widowControl/>
                    <w:snapToGrid w:val="0"/>
                    <w:spacing w:before="0" w:after="0" w:line="300" w:lineRule="exact"/>
                    <w:ind w:firstLine="0" w:left="0" w:right="0"/>
                    <w:jc w:val="left"/>
                  </w:pPr>
                  <w:r>
                    <w:rPr>
                      <w:rFonts w:ascii="Times New Roman" w:hAnsi="Times New Roman" w:eastAsia="宋体"/>
                      <w:b w:val="0"/>
                      <w:sz w:val="20"/>
                    </w:rPr>
                    <w:t>实现缓存与增量计算，检查预算、种子及样本变化规则。</w:t>
                  </w:r>
                </w:p>
              </w:tc>
              <w:tc>
                <w:tcPr>
                  <w:tcW w:type="dxa" w:w="340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缓存原型及与全量重算一致性记录。</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10.12—10.25</w:t>
                  </w:r>
                </w:p>
              </w:tc>
              <w:tc>
                <w:tcPr>
                  <w:tcW w:type="dxa" w:w="3742"/>
                  <w:vAlign w:val="center"/>
                </w:tcPr>
                <w:p>
                  <w:pPr>
                    <w:keepNext w:val="0"/>
                    <w:keepLines w:val="0"/>
                    <w:pageBreakBefore w:val="0"/>
                    <w:widowControl/>
                    <w:snapToGrid w:val="0"/>
                    <w:spacing w:before="0" w:after="0" w:line="300" w:lineRule="exact"/>
                    <w:ind w:firstLine="0" w:left="0" w:right="0"/>
                    <w:jc w:val="left"/>
                  </w:pPr>
                  <w:r>
                    <w:rPr>
                      <w:rFonts w:ascii="Times New Roman" w:hAnsi="Times New Roman" w:eastAsia="宋体"/>
                      <w:b w:val="0"/>
                      <w:sz w:val="20"/>
                    </w:rPr>
                    <w:t>实现公共节点去重、队列、阶段恢复及控制台。</w:t>
                  </w:r>
                </w:p>
              </w:tc>
              <w:tc>
                <w:tcPr>
                  <w:tcW w:type="dxa" w:w="3402"/>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可运行系统及隔离、恢复验证记录。</w:t>
                  </w:r>
                </w:p>
              </w:tc>
            </w:tr>
            <w:tr>
              <w:trPr>
                <w:cantSplit/>
              </w:trPr>
              <w:tc>
                <w:tcPr>
                  <w:tcW w:type="dxa" w:w="1474"/>
                  <w:vAlign w:val="center"/>
                </w:tcPr>
                <w:p>
                  <w:pPr>
                    <w:keepNext w:val="0"/>
                    <w:keepLines w:val="0"/>
                    <w:pageBreakBefore w:val="0"/>
                    <w:widowControl/>
                    <w:snapToGrid w:val="0"/>
                    <w:spacing w:before="0" w:after="0" w:line="300" w:lineRule="exact"/>
                    <w:ind w:firstLine="0" w:left="0" w:right="0"/>
                    <w:jc w:val="center"/>
                  </w:pPr>
                  <w:r>
                    <w:rPr>
                      <w:rFonts w:ascii="Times New Roman" w:hAnsi="Times New Roman" w:eastAsia="宋体"/>
                      <w:b w:val="0"/>
                      <w:sz w:val="20"/>
                    </w:rPr>
                    <w:t>10.26—11.8</w:t>
                  </w:r>
                </w:p>
              </w:tc>
              <w:tc>
                <w:tcPr>
                  <w:tcW w:type="dxa" w:w="3742"/>
                  <w:vAlign w:val="center"/>
                </w:tcPr>
                <w:p>
                  <w:pPr>
                    <w:keepNext w:val="0"/>
                    <w:keepLines w:val="0"/>
                    <w:pageBreakBefore w:val="0"/>
                    <w:widowControl/>
                    <w:snapToGrid w:val="0"/>
                    <w:spacing w:before="0" w:after="0" w:line="300" w:lineRule="exact"/>
                    <w:ind w:firstLine="0" w:left="0" w:right="0"/>
                    <w:jc w:val="left"/>
                  </w:pPr>
                  <w:r>
                    <w:rPr>
                      <w:rFonts w:ascii="Times New Roman" w:hAnsi="Times New Roman" w:eastAsia="宋体"/>
                      <w:b w:val="0"/>
                      <w:sz w:val="20"/>
                    </w:rPr>
                    <w:t>开展三组对比，分析时间与存储开销，补充论文实验。</w:t>
                  </w:r>
                </w:p>
              </w:tc>
              <w:tc>
                <w:tcPr>
                  <w:tcW w:type="dxa" w:w="3402"/>
                  <w:vAlign w:val="center"/>
                </w:tcPr>
                <w:p>
                  <w:pPr>
                    <w:keepNext w:val="0"/>
                    <w:keepLines w:val="0"/>
                    <w:pageBreakBefore w:val="0"/>
                    <w:widowControl/>
                    <w:snapToGrid w:val="0"/>
                    <w:spacing w:before="0" w:after="0" w:line="300" w:lineRule="exact"/>
                    <w:ind w:firstLine="0" w:left="0" w:right="0"/>
                    <w:jc w:val="left"/>
                  </w:pPr>
                  <w:r>
                    <w:rPr>
                      <w:rFonts w:ascii="Times New Roman" w:hAnsi="Times New Roman" w:eastAsia="宋体"/>
                      <w:b w:val="0"/>
                      <w:sz w:val="20"/>
                    </w:rPr>
                    <w:t>机制验证报告、系统说明及学位论文相关章节。</w:t>
                  </w:r>
                </w:p>
              </w:tc>
            </w:tr>
          </w:tbl>
          <w:p>
            <w:pPr>
              <w:keepNext w:val="0"/>
              <w:keepLines w:val="0"/>
              <w:pageBreakBefore w:val="0"/>
              <w:widowControl/>
              <w:snapToGrid w:val="0"/>
              <w:spacing w:before="0" w:after="0" w:line="40" w:lineRule="exact"/>
              <w:ind w:firstLine="0" w:left="0" w:right="0"/>
              <w:jc w:val="both"/>
            </w:pPr>
            <w:r>
              <w:rPr>
                <w:rFonts w:ascii="Times New Roman" w:hAnsi="Times New Roman" w:eastAsia="宋体"/>
                <w:b w:val="0"/>
                <w:sz w:val="2"/>
              </w:rPr>
            </w:r>
          </w:p>
          <w:p>
            <w:pPr>
              <w:keepNext w:val="0"/>
              <w:keepLines w:val="0"/>
              <w:pageBreakBefore w:val="0"/>
              <w:widowControl/>
              <w:snapToGrid w:val="0"/>
              <w:spacing w:before="0" w:after="60" w:line="280" w:lineRule="exact"/>
              <w:ind w:firstLine="0" w:left="0" w:right="0"/>
              <w:jc w:val="both"/>
            </w:pPr>
            <w:r>
              <w:rPr>
                <w:rFonts w:ascii="Times New Roman" w:hAnsi="Times New Roman" w:eastAsia="宋体"/>
                <w:b w:val="0"/>
                <w:sz w:val="18"/>
              </w:rPr>
              <w:t>各阶段以可运行产物和可核验记录为依据，根据实验资源及导师指导调整。</w:t>
            </w:r>
          </w:p>
        </w:tc>
      </w:tr>
      <w:tr>
        <w:trPr>
          <w:jc w:val="center"/>
          <w:cantSplit/>
        </w:trPr>
        <w:tc>
          <w:tcPr>
            <w:tcW w:w="9072" w:type="dxa"/>
            <w:gridSpan w:val="2"/>
            <w:vAlign w:val="top"/>
          </w:tcPr>
          <w:p>
            <w:pPr>
              <w:keepNext/>
              <w:keepLines w:val="0"/>
              <w:pageBreakBefore w:val="0"/>
              <w:widowControl/>
              <w:snapToGrid w:val="0"/>
              <w:spacing w:before="0" w:after="80" w:line="340" w:lineRule="exact"/>
              <w:ind w:firstLine="0" w:left="0" w:right="0"/>
              <w:jc w:val="both"/>
            </w:pPr>
            <w:r>
              <w:rPr>
                <w:rFonts w:ascii="Times New Roman" w:hAnsi="Times New Roman" w:eastAsia="宋体"/>
                <w:b/>
                <w:sz w:val="21"/>
              </w:rPr>
              <w:t>与课题相关的学术成果情况：</w:t>
            </w:r>
          </w:p>
          <w:p>
            <w:pPr>
              <w:keepNext w:val="0"/>
              <w:keepLines w:val="0"/>
              <w:pageBreakBefore w:val="0"/>
              <w:widowControl/>
              <w:snapToGrid w:val="0"/>
              <w:spacing w:before="0" w:after="60" w:line="320" w:lineRule="exact"/>
              <w:ind w:firstLine="420" w:left="0" w:right="0"/>
              <w:jc w:val="both"/>
            </w:pPr>
            <w:r>
              <w:rPr>
                <w:rFonts w:ascii="Times New Roman" w:hAnsi="Times New Roman" w:eastAsia="宋体"/>
                <w:b w:val="0"/>
                <w:sz w:val="21"/>
              </w:rPr>
              <w:t>已形成英文论文稿《PCU-Select: Amortizing Target-Specific Data Selection Across PEFT Configurations》，完成方法框架和现阶段实验结果的组织，正在完善原始实验记录核验及论文论证。已形成配套特征提取、PEFT 配置注册、条件评分、聚类配额选数及训练评测脚本基础，为后续系统研究提供可复用模块。</w:t>
            </w:r>
          </w:p>
        </w:tc>
      </w:tr>
    </w:tbl>
    <w:p>
      <w:pPr>
        <w:keepNext/>
        <w:keepLines w:val="0"/>
        <w:pageBreakBefore w:val="0"/>
        <w:widowControl/>
        <w:snapToGrid w:val="0"/>
        <w:spacing w:before="0" w:beforeLines="100" w:after="180" w:afterLines="30" w:line="400" w:lineRule="exact"/>
        <w:ind w:firstLine="0" w:left="0" w:right="0"/>
        <w:jc w:val="both"/>
        <w:snapToGrid w:val="0"/>
      </w:pPr>
      <w:r>
        <w:rPr>
          <w:rFonts w:ascii="Times New Roman" w:hAnsi="Times New Roman" w:eastAsia="仿宋_GB2312"/>
          <w:b/>
          <w:sz w:val="24"/>
        </w:rPr>
        <w:t>二、中期考核作者承诺及导师意见</w:t>
      </w:r>
    </w:p>
    <w:tbl>
      <w:tblPr>
        <w:tblStyle w:val="6"/>
        <w:tblW w:w="0" w:type="auto"/>
        <w:jc w:val="center"/>
        <w:tblLayout w:type="fixed"/>
        <w:tblCellMar>
          <w:top w:w="150" w:type="dxa"/>
          <w:left w:w="140" w:type="dxa"/>
          <w:bottom w:w="130" w:type="dxa"/>
          <w:right w:w="14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8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atLeast"/>
          <w:jc w:val="center"/>
          <w:cantSplit/>
        </w:trPr>
        <w:tc>
          <w:tcPr>
            <w:tcW w:w="8946" w:type="dxa"/>
          </w:tcPr>
          <w:p>
            <w:pPr>
              <w:keepNext w:val="0"/>
              <w:keepLines w:val="0"/>
              <w:pageBreakBefore w:val="0"/>
              <w:widowControl/>
              <w:spacing w:before="0" w:after="560" w:line="460" w:lineRule="exact"/>
              <w:ind w:firstLine="420" w:left="0" w:right="0"/>
              <w:jc w:val="both"/>
              <w:snapToGrid w:val="0"/>
            </w:pPr>
            <w:r>
              <w:rPr>
                <w:rFonts w:ascii="Times New Roman" w:hAnsi="Times New Roman" w:eastAsia="宋体"/>
                <w:b w:val="0"/>
                <w:sz w:val="24"/>
              </w:rPr>
              <w:t>我保证上述填报内容的真实性，并将在导师指导下，严格遵守学校的有关规定，按计划认真开展学位（毕业）论文研究工作。</w:t>
            </w:r>
          </w:p>
          <w:p>
            <w:pPr>
              <w:keepNext w:val="0"/>
              <w:keepLines w:val="0"/>
              <w:pageBreakBefore w:val="0"/>
              <w:widowControl/>
              <w:spacing w:before="0" w:after="300" w:line="460" w:lineRule="exact"/>
              <w:ind w:firstLine="0" w:left="0" w:right="0"/>
              <w:jc w:val="right"/>
              <w:snapToGrid w:val="0"/>
            </w:pPr>
            <w:r>
              <w:rPr>
                <w:rFonts w:ascii="Times New Roman" w:hAnsi="Times New Roman" w:eastAsia="宋体"/>
                <w:b w:val="0"/>
                <w:sz w:val="24"/>
              </w:rPr>
              <w:t>研究生签名：________________</w:t>
            </w:r>
          </w:p>
          <w:p>
            <w:pPr>
              <w:keepNext w:val="0"/>
              <w:keepLines w:val="0"/>
              <w:pageBreakBefore w:val="0"/>
              <w:widowControl/>
              <w:spacing w:before="0" w:after="0" w:line="460" w:lineRule="exact"/>
              <w:ind w:firstLine="0" w:left="0" w:right="0"/>
              <w:jc w:val="right"/>
              <w:snapToGrid w:val="0"/>
            </w:pPr>
            <w:r>
              <w:rPr>
                <w:rFonts w:ascii="Times New Roman" w:hAnsi="Times New Roman" w:eastAsia="宋体"/>
                <w:b w:val="0"/>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atLeast"/>
          <w:jc w:val="center"/>
          <w:cantSplit/>
        </w:trPr>
        <w:tc>
          <w:tcPr>
            <w:tcW w:w="8946" w:type="dxa"/>
          </w:tcPr>
          <w:p>
            <w:pPr>
              <w:keepNext w:val="0"/>
              <w:keepLines w:val="0"/>
              <w:pageBreakBefore w:val="0"/>
              <w:widowControl/>
              <w:spacing w:before="0" w:after="560" w:line="460" w:lineRule="exact"/>
              <w:ind w:firstLine="420" w:left="0" w:right="0"/>
              <w:jc w:val="both"/>
              <w:snapToGrid w:val="0"/>
            </w:pPr>
            <w:r>
              <w:rPr>
                <w:rFonts w:ascii="Times New Roman" w:hAnsi="Times New Roman" w:eastAsia="宋体"/>
                <w:b w:val="0"/>
                <w:sz w:val="24"/>
              </w:rPr>
              <w:t>我已审阅过中期考核的全部内容，同意研究生参加中期考核。</w:t>
            </w:r>
          </w:p>
          <w:p>
            <w:pPr>
              <w:keepNext w:val="0"/>
              <w:keepLines w:val="0"/>
              <w:pageBreakBefore w:val="0"/>
              <w:widowControl/>
              <w:spacing w:before="0" w:after="300" w:line="460" w:lineRule="exact"/>
              <w:ind w:firstLine="0" w:left="0" w:right="0"/>
              <w:jc w:val="right"/>
              <w:snapToGrid w:val="0"/>
            </w:pPr>
            <w:r>
              <w:rPr>
                <w:rFonts w:ascii="Times New Roman" w:hAnsi="Times New Roman" w:eastAsia="宋体"/>
                <w:b w:val="0"/>
                <w:sz w:val="24"/>
              </w:rPr>
              <w:t>指导教师签名：________________</w:t>
            </w:r>
          </w:p>
          <w:p>
            <w:pPr>
              <w:keepNext w:val="0"/>
              <w:keepLines w:val="0"/>
              <w:pageBreakBefore w:val="0"/>
              <w:widowControl/>
              <w:spacing w:before="0" w:after="0" w:line="460" w:lineRule="exact"/>
              <w:ind w:firstLine="0" w:left="0" w:right="0"/>
              <w:jc w:val="right"/>
              <w:snapToGrid w:val="0"/>
            </w:pPr>
            <w:r>
              <w:rPr>
                <w:rFonts w:ascii="Times New Roman" w:hAnsi="Times New Roman" w:eastAsia="宋体"/>
                <w:b w:val="0"/>
                <w:sz w:val="24"/>
              </w:rPr>
              <w:t>年    月    日</w:t>
            </w:r>
          </w:p>
        </w:tc>
      </w:tr>
    </w:tbl>
    <w:p>
      <w:pPr>
        <w:keepNext/>
        <w:keepLines w:val="0"/>
        <w:pageBreakBefore/>
        <w:widowControl/>
        <w:snapToGrid w:val="0"/>
        <w:spacing w:before="0" w:beforeLines="100" w:after="180" w:afterLines="30" w:line="400" w:lineRule="exact"/>
        <w:ind w:firstLine="0" w:left="0" w:right="0"/>
        <w:jc w:val="both"/>
        <w:snapToGrid w:val="0"/>
      </w:pPr>
      <w:r>
        <w:rPr>
          <w:rFonts w:ascii="Times New Roman" w:hAnsi="Times New Roman" w:eastAsia="仿宋_GB2312"/>
          <w:b/>
          <w:sz w:val="24"/>
        </w:rPr>
        <w:t>三、中期考核审核意见</w:t>
      </w:r>
    </w:p>
    <w:tbl>
      <w:tblPr>
        <w:tblStyle w:val="5"/>
        <w:tblW w:w="9228" w:type="dxa"/>
        <w:jc w:val="center"/>
        <w:tblLayout w:type="fixed"/>
        <w:tblCellMar>
          <w:top w:w="50" w:type="dxa"/>
          <w:left w:w="90" w:type="dxa"/>
          <w:bottom w:w="50" w:type="dxa"/>
          <w:right w:w="9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41"/>
        <w:gridCol w:w="567"/>
        <w:gridCol w:w="1701"/>
        <w:gridCol w:w="2299"/>
        <w:gridCol w:w="3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cantSplit/>
        </w:trPr>
        <w:tc>
          <w:tcPr>
            <w:tcW w:w="9228" w:type="dxa"/>
            <w:gridSpan w:val="5"/>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中期考核小组成员名单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组成人员</w:t>
            </w:r>
          </w:p>
        </w:tc>
        <w:tc>
          <w:tcPr>
            <w:tcW w:w="1701" w:type="dxa"/>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姓  名</w:t>
            </w:r>
          </w:p>
        </w:tc>
        <w:tc>
          <w:tcPr>
            <w:tcW w:w="2299" w:type="dxa"/>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职  称</w:t>
            </w:r>
          </w:p>
        </w:tc>
        <w:tc>
          <w:tcPr>
            <w:tcW w:w="3620" w:type="dxa"/>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组长</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jc w:val="center"/>
          <w:cantSplit/>
        </w:trPr>
        <w:tc>
          <w:tcPr>
            <w:tcW w:w="1041" w:type="dxa"/>
            <w:vMerge w:val="restart"/>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审</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核</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意</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见</w:t>
            </w:r>
          </w:p>
        </w:tc>
        <w:tc>
          <w:tcPr>
            <w:tcW w:w="8187" w:type="dxa"/>
            <w:gridSpan w:val="4"/>
            <w:tcBorders>
              <w:bottom w:val="nil"/>
            </w:tcBorders>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8"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top"/>
          </w:tcPr>
          <w:p>
            <w:pPr>
              <w:keepNext w:val="0"/>
              <w:keepLines w:val="0"/>
              <w:pageBreakBefore w:val="0"/>
              <w:widowControl/>
              <w:spacing w:before="0" w:after="0" w:line="360" w:lineRule="exact"/>
              <w:ind w:firstLine="0" w:left="0" w:right="0"/>
              <w:jc w:val="left"/>
              <w:snapToGrid w:val="0"/>
            </w:pPr>
            <w:r>
              <w:rPr>
                <w:rFonts w:ascii="Times New Roman" w:hAnsi="Times New Roman" w:eastAsia="宋体"/>
                <w:b w:val="0"/>
                <w:sz w:val="21"/>
              </w:rPr>
              <w:t>具体意见：</w:t>
            </w:r>
          </w:p>
          <w:p>
            <w:pPr>
              <w:keepNext w:val="0"/>
              <w:keepLines w:val="0"/>
              <w:pageBreakBefore w:val="0"/>
              <w:widowControl/>
              <w:spacing w:before="1480" w:after="0" w:line="360" w:lineRule="exact"/>
              <w:ind w:firstLine="0" w:left="0" w:right="0"/>
              <w:jc w:val="left"/>
              <w:snapToGrid w:val="0"/>
            </w:pPr>
            <w:r>
              <w:rPr>
                <w:rFonts w:ascii="Times New Roman" w:hAnsi="Times New Roman" w:eastAsia="宋体"/>
                <w:b w:val="0"/>
                <w:sz w:val="21"/>
              </w:rPr>
              <w:t>审核结果：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 通过         □ 暂缓通过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left"/>
              <w:snapToGrid w:val="0"/>
            </w:pPr>
            <w:r>
              <w:rPr>
                <w:rFonts w:ascii="Times New Roman" w:hAnsi="Times New Roman" w:eastAsia="宋体"/>
                <w:b w:val="0"/>
                <w:sz w:val="21"/>
              </w:rPr>
              <w:t>组长签名：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left"/>
              <w:snapToGrid w:val="0"/>
            </w:pPr>
            <w:r>
              <w:rPr>
                <w:rFonts w:ascii="Times New Roman" w:hAnsi="Times New Roman" w:eastAsia="宋体"/>
                <w:b w:val="0"/>
                <w:sz w:val="21"/>
              </w:rPr>
              <w:t>成员签名：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single" w:color="auto" w:sz="4" w:space="0"/>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jc w:val="center"/>
          <w:cantSplit/>
        </w:trPr>
        <w:tc>
          <w:tcPr>
            <w:tcW w:w="1041" w:type="dxa"/>
            <w:vMerge w:val="restart"/>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院</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（系）</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意</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见</w:t>
            </w:r>
          </w:p>
        </w:tc>
        <w:tc>
          <w:tcPr>
            <w:tcW w:w="8187" w:type="dxa"/>
            <w:gridSpan w:val="4"/>
            <w:tcBorders>
              <w:top w:val="single" w:color="auto" w:sz="4" w:space="0"/>
              <w:bottom w:val="nil"/>
            </w:tcBorders>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主管领导签名：                         院（系）公章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年    月    日</w:t>
            </w:r>
          </w:p>
        </w:tc>
      </w:tr>
    </w:tbl>
    <w:sectPr>
      <w:headerReference r:id="rId4" w:type="first"/>
      <w:footerReference r:id="rId6" w:type="first"/>
      <w:headerReference r:id="rId3" w:type="default"/>
      <w:footerReference r:id="rId5" w:type="default"/>
      <w:type w:val="continuous"/>
      <w:pgSz w:w="11906" w:h="16838"/>
      <w:pgMar w:top="1418" w:right="1418" w:bottom="1418" w:left="1418" w:header="851" w:footer="851" w:gutter="0"/>
      <w:pgNumType w:fmt="decimal"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1"/>
      </w:rPr>
    </w: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separate"/>
    </w:r>
    <w:r>
      <w:rPr>
        <w:rFonts w:ascii="Times New Roman" w:hAnsi="Times New Roman" w:eastAsia="宋体"/>
        <w:b w:val="0"/>
        <w:sz w:val="21"/>
      </w:rPr>
      <w:t>1</w:t>
    </w:r>
    <w:r>
      <w:rPr>
        <w:rFonts w:ascii="Times New Roman" w:hAnsi="Times New Roman" w:eastAsia="宋体"/>
        <w:b w:val="0"/>
        <w:sz w:val="21"/>
      </w:rP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B1A46"/>
    <w:multiLevelType w:val="singleLevel"/>
    <w:tmpl w:val="A47B1A46"/>
    <w:lvl w:ilvl="0" w:tentative="0">
      <w:start w:val="2"/>
      <w:numFmt w:val="decimal"/>
      <w:suff w:val="nothing"/>
      <w:lvlText w:val="（%1）"/>
      <w:lvlJc w:val="left"/>
    </w:lvl>
  </w:abstractNum>
  <w:abstractNum w:abstractNumId="1">
    <w:nsid w:val="055A938B"/>
    <w:multiLevelType w:val="singleLevel"/>
    <w:tmpl w:val="055A938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STIX Two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qFormat/>
    <w:uiPriority w:val="0"/>
    <w:pPr>
      <w:ind w:left="600" w:right="631" w:firstLine="460"/>
    </w:pPr>
    <w:rPr>
      <w:sz w:val="24"/>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page number"/>
    <w:basedOn w:val="7"/>
    <w:qFormat/>
    <w:uiPriority w:val="0"/>
  </w:style>
  <w:style w:type="character" w:styleId="9">
    <w:name w:val="Hyperlink"/>
    <w:basedOn w:val="7"/>
    <w:qFormat/>
    <w:uiPriority w:val="0"/>
    <w:rPr>
      <w:color w:val="0000FF"/>
      <w:u w:val="single"/>
    </w:rPr>
  </w:style>
  <w:style w:type="paragraph" w:styleId="10">
    <w:name w:val="List Paragraph"/>
    <w:basedOn w:val="1"/>
    <w:qFormat/>
    <w:uiPriority w:val="99"/>
    <w:pPr>
      <w:ind w:firstLine="420" w:firstLineChars="200"/>
    </w:pPr>
  </w:style>
  <w:style w:type="paragraph" w:customStyle="1" w:styleId="Title">
    <w:name w:val="Title"/>
  </w:style>
</w:styl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 Type="http://schemas.openxmlformats.org/officeDocument/2006/relationships/styles" Target="style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Pages>8</Pages>
  <Words>6286</Words>
  <Characters>6710</Characters>
  <Lines>6</Lines>
  <Paragraphs>1</Paragraphs>
  <TotalTime>36</TotalTime>
  <ScaleCrop>false</ScaleCrop>
  <LinksUpToDate>false</LinksUpToDate>
  <CharactersWithSpaces>7219</CharactersWithSpaces>
  <Application>WPS Office_11.1.0.15309_F1E327BC-269C-435d-A152-05C5408002CA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2007-12-05T09:05:00Z</dcterms:created>
  <dc:creator>林肯达</dc:creator>
  <cp:lastModifiedBy>林肯达</cp:lastModifiedBy>
  <cp:lastPrinted>2007-11-12T08:24:00Z</cp:lastPrinted>
  <dcterms:modified xsi:type="dcterms:W3CDTF">2023-12-13T11:26:50Z</dcterms:modified>
  <dc:title>研究生学位论文中期考核表</dc:title>
  <cp:revision>7</cp:revision>
  <dc:subject>面向大模型的数据与参数联合高效微调算法研究</dc:subject>
  <dc:description/>
  <cp:keywords>PCU-Select；中期考核</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2052-11.1.0.15309</vt:lpwstr>
  </property>
  <property fmtid="{D5CDD505-2E9C-101B-9397-08002B2CF9AE}" pid="3" name="ICV">
    <vt:lpwstr>7055786DF92143B1A30021A70B54CA7B</vt:lpwstr>
  </property>
</Properties>
</file>