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jpg" ContentType="image/jpe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oter3.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webSettings.xml" ContentType="application/vnd.openxmlformats-officedocument.wordprocessingml.webSettings+xml"/>
  <Override PartName="/word/footer2.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44"/>
        <w:widowControl w:val="false"/>
        <w:pBdr>
          <w:top w:val="none" w:color="000000" w:sz="4" w:space="0"/>
          <w:left w:val="none" w:color="000000" w:sz="4" w:space="0"/>
          <w:bottom w:val="none" w:color="000000" w:sz="4" w:space="0"/>
          <w:right w:val="none" w:color="000000" w:sz="4" w:space="0"/>
          <w:between w:val="none" w:color="000000" w:sz="4" w:space="0"/>
        </w:pBdr>
        <w:spacing w:line="276" w:lineRule="auto"/>
        <w:ind/>
        <w:rPr>
          <w:rFonts w:ascii="Calibri" w:hAnsi="Calibri" w:eastAsia="Calibri" w:cs="Calibri"/>
          <w:color w:val="000000"/>
          <w:sz w:val="24"/>
          <w:szCs w:val="24"/>
        </w:rPr>
      </w:pPr>
      <w:r>
        <w:rPr>
          <w:rFonts w:ascii="Calibri" w:hAnsi="Calibri" w:eastAsia="Calibri" w:cs="Calibri"/>
          <w:color w:val="000000"/>
          <w:sz w:val="24"/>
          <w:szCs w:val="24"/>
        </w:rPr>
      </w:r>
      <w:r>
        <w:rPr>
          <w:rFonts w:ascii="Calibri" w:hAnsi="Calibri" w:eastAsia="Calibri" w:cs="Calibri"/>
          <w:color w:val="000000"/>
          <w:sz w:val="24"/>
          <w:szCs w:val="24"/>
        </w:rPr>
      </w:r>
    </w:p>
    <w:tbl>
      <w:tblPr>
        <w:tblStyle w:val="847"/>
        <w:tblInd w:w="285" w:type="dxa"/>
        <w:tblW w:w="109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906"/>
      </w:tblGrid>
      <w:tr>
        <w:trPr/>
        <w:tc>
          <w:tcPr>
            <w:shd w:val="clear" w:color="auto" w:fill="0f2e5c"/>
            <w:tcBorders/>
            <w:tcMar>
              <w:left w:w="400" w:type="dxa"/>
              <w:top w:w="260" w:type="dxa"/>
              <w:right w:w="400" w:type="dxa"/>
              <w:bottom w:w="260" w:type="dxa"/>
            </w:tcMar>
            <w:tcW w:w="10906" w:type="dxa"/>
          </w:tcPr>
          <w:p>
            <w:pPr>
              <w:pStyle w:val="844"/>
              <w:pBdr/>
              <w:spacing w:after="40"/>
              <w:ind/>
              <w:jc w:val="center"/>
              <w:rPr>
                <w:rFonts w:ascii="Calibri" w:hAnsi="Calibri" w:eastAsia="Calibri" w:cs="Calibri"/>
                <w:sz w:val="22"/>
                <w:szCs w:val="22"/>
              </w:rPr>
            </w:pPr>
            <w:r>
              <w:rPr>
                <w:rFonts w:ascii="Calibri" w:hAnsi="Calibri" w:eastAsia="Calibri" w:cs="Calibri"/>
                <w:b/>
                <w:bCs/>
                <w:color w:val="ffffff"/>
                <w:sz w:val="22"/>
                <w:szCs w:val="22"/>
              </w:rPr>
              <w:t xml:space="preserve">IEEE SYSTEMS, MAN, AND CYBERNETICS SOCIETY</w:t>
            </w:r>
            <w:r>
              <w:rPr>
                <w:rFonts w:ascii="Calibri" w:hAnsi="Calibri" w:eastAsia="Calibri" w:cs="Calibri"/>
                <w:sz w:val="22"/>
                <w:szCs w:val="22"/>
              </w:rPr>
            </w:r>
          </w:p>
          <w:p>
            <w:pPr>
              <w:pStyle w:val="844"/>
              <w:pBdr/>
              <w:spacing w:after="40"/>
              <w:ind/>
              <w:jc w:val="center"/>
              <w:rPr>
                <w:rFonts w:ascii="Calibri" w:hAnsi="Calibri" w:eastAsia="Calibri" w:cs="Calibri"/>
                <w:sz w:val="22"/>
                <w:szCs w:val="22"/>
              </w:rPr>
            </w:pPr>
            <w:r>
              <w:rPr>
                <w:rFonts w:ascii="Calibri" w:hAnsi="Calibri" w:eastAsia="Calibri" w:cs="Calibri"/>
                <w:color w:val="c9962c"/>
              </w:rPr>
              <w:t xml:space="preserve">STUDENT BRANCH CHAPTER</w:t>
            </w:r>
            <w:r>
              <w:rPr>
                <w:rFonts w:ascii="Calibri" w:hAnsi="Calibri" w:eastAsia="Calibri" w:cs="Calibri"/>
                <w:sz w:val="22"/>
                <w:szCs w:val="22"/>
              </w:rPr>
            </w:r>
          </w:p>
          <w:p>
            <w:pPr>
              <w:pStyle w:val="844"/>
              <w:pBdr/>
              <w:spacing/>
              <w:ind/>
              <w:jc w:val="center"/>
              <w:rPr>
                <w:rFonts w:ascii="Calibri" w:hAnsi="Calibri" w:eastAsia="Calibri" w:cs="Calibri"/>
                <w:sz w:val="22"/>
                <w:szCs w:val="22"/>
              </w:rPr>
            </w:pPr>
            <w:r>
              <w:rPr>
                <w:rFonts w:ascii="Calibri" w:hAnsi="Calibri" w:eastAsia="Calibri" w:cs="Calibri"/>
                <w:b/>
                <w:bCs/>
                <w:color w:val="ffffff"/>
                <w:sz w:val="28"/>
                <w:szCs w:val="28"/>
              </w:rPr>
              <w:t xml:space="preserve">KALYANI GOVERNMENT ENGINEERING COLLEGE</w:t>
            </w:r>
            <w:r>
              <w:rPr>
                <w:rFonts w:ascii="Calibri" w:hAnsi="Calibri" w:eastAsia="Calibri" w:cs="Calibri"/>
                <w:sz w:val="22"/>
                <w:szCs w:val="22"/>
              </w:rPr>
            </w:r>
          </w:p>
          <w:p>
            <w:pPr>
              <w:pStyle w:val="844"/>
              <w:pBdr/>
              <w:spacing/>
              <w:ind/>
              <w:jc w:val="center"/>
              <w:rPr>
                <w:rFonts w:ascii="Calibri" w:hAnsi="Calibri" w:eastAsia="Calibri" w:cs="Calibri"/>
                <w:sz w:val="22"/>
                <w:szCs w:val="22"/>
              </w:rPr>
            </w:pPr>
            <w:r>
              <w:rPr>
                <w:rFonts w:ascii="Calibri" w:hAnsi="Calibri" w:eastAsia="Calibri" w:cs="Calibri"/>
                <w:color w:val="d9d9d9"/>
              </w:rPr>
              <w:t xml:space="preserve">( KGEC )</w:t>
            </w:r>
            <w:r>
              <w:rPr>
                <w:rFonts w:ascii="Calibri" w:hAnsi="Calibri" w:eastAsia="Calibri" w:cs="Calibri"/>
                <w:sz w:val="22"/>
                <w:szCs w:val="22"/>
              </w:rPr>
            </w:r>
          </w:p>
        </w:tc>
      </w:tr>
    </w:tbl>
    <w:p>
      <w:pPr>
        <w:pStyle w:val="844"/>
        <w:pBdr/>
        <w:spacing w:after="280"/>
        <w:ind/>
        <w:rPr>
          <w:rFonts w:ascii="Calibri" w:hAnsi="Calibri" w:eastAsia="Calibri" w:cs="Calibri"/>
          <w:sz w:val="22"/>
          <w:szCs w:val="22"/>
        </w:rPr>
      </w:pPr>
      <w:r>
        <w:rPr>
          <w:rFonts w:ascii="Calibri" w:hAnsi="Calibri" w:eastAsia="Calibri" w:cs="Calibri"/>
          <w:sz w:val="22"/>
          <w:szCs w:val="22"/>
        </w:rPr>
      </w:r>
      <w:r>
        <w:rPr>
          <w:rFonts w:ascii="Calibri" w:hAnsi="Calibri" w:eastAsia="Calibri" w:cs="Calibri"/>
          <w:sz w:val="22"/>
          <w:szCs w:val="22"/>
        </w:rPr>
      </w:r>
    </w:p>
    <w:p>
      <w:pPr>
        <w:pStyle w:val="844"/>
        <w:pBdr/>
        <w:spacing w:after="40"/>
        <w:ind/>
        <w:jc w:val="center"/>
        <w:rPr>
          <w:rFonts w:ascii="Calibri" w:hAnsi="Calibri" w:eastAsia="Calibri" w:cs="Calibri"/>
          <w:sz w:val="22"/>
          <w:szCs w:val="22"/>
        </w:rPr>
      </w:pPr>
      <w:r>
        <w:rPr>
          <w:rFonts w:ascii="Calibri" w:hAnsi="Calibri" w:eastAsia="Calibri" w:cs="Calibri"/>
          <w:b/>
          <w:bCs/>
          <w:color w:val="0f2e5c"/>
          <w:sz w:val="42"/>
          <w:szCs w:val="42"/>
        </w:rPr>
        <w:t xml:space="preserve">SUMMER RESEARCH INTERNSHIP PROGRAMME</w:t>
      </w:r>
      <w:r>
        <w:rPr>
          <w:rFonts w:ascii="Calibri" w:hAnsi="Calibri" w:eastAsia="Calibri" w:cs="Calibri"/>
          <w:sz w:val="22"/>
          <w:szCs w:val="22"/>
        </w:rPr>
      </w:r>
    </w:p>
    <w:p>
      <w:pPr>
        <w:pStyle w:val="844"/>
        <w:pBdr/>
        <w:spacing w:after="30"/>
        <w:ind/>
        <w:jc w:val="center"/>
        <w:rPr>
          <w:rFonts w:ascii="Calibri" w:hAnsi="Calibri" w:eastAsia="Calibri" w:cs="Calibri"/>
          <w:sz w:val="22"/>
          <w:szCs w:val="22"/>
        </w:rPr>
      </w:pPr>
      <w:r>
        <w:rPr>
          <w:rFonts w:ascii="Calibri" w:hAnsi="Calibri" w:eastAsia="Calibri" w:cs="Calibri"/>
          <w:b/>
          <w:bCs/>
          <w:color w:val="c9962c"/>
          <w:sz w:val="34"/>
          <w:szCs w:val="34"/>
        </w:rPr>
        <w:t xml:space="preserve">2 0 2 6</w:t>
      </w:r>
      <w:r>
        <w:rPr>
          <w:rFonts w:ascii="Calibri" w:hAnsi="Calibri" w:eastAsia="Calibri" w:cs="Calibri"/>
          <w:sz w:val="22"/>
          <w:szCs w:val="22"/>
        </w:rPr>
      </w:r>
    </w:p>
    <w:p>
      <w:pPr>
        <w:pStyle w:val="844"/>
        <w:pBdr>
          <w:bottom w:val="single" w:color="c9962c" w:sz="8" w:space="8"/>
        </w:pBdr>
        <w:spacing w:after="20"/>
        <w:ind/>
        <w:jc w:val="center"/>
        <w:rPr>
          <w:rFonts w:ascii="Calibri" w:hAnsi="Calibri" w:eastAsia="Calibri" w:cs="Calibri"/>
          <w:sz w:val="22"/>
          <w:szCs w:val="22"/>
        </w:rPr>
      </w:pPr>
      <w:r>
        <w:rPr>
          <w:rFonts w:ascii="Calibri" w:hAnsi="Calibri" w:eastAsia="Calibri" w:cs="Calibri"/>
          <w:sz w:val="22"/>
          <w:szCs w:val="22"/>
        </w:rPr>
      </w:r>
      <w:r>
        <w:rPr>
          <w:rFonts w:ascii="Calibri" w:hAnsi="Calibri" w:eastAsia="Calibri" w:cs="Calibri"/>
          <w:sz w:val="22"/>
          <w:szCs w:val="22"/>
        </w:rPr>
      </w:r>
    </w:p>
    <w:p>
      <w:pPr>
        <w:pStyle w:val="844"/>
        <w:pBdr/>
        <w:spacing w:after="320" w:before="100"/>
        <w:ind/>
        <w:jc w:val="center"/>
        <w:rPr>
          <w:rFonts w:ascii="Calibri" w:hAnsi="Calibri" w:eastAsia="Calibri" w:cs="Calibri"/>
          <w:sz w:val="22"/>
          <w:szCs w:val="22"/>
        </w:rPr>
      </w:pPr>
      <w:r>
        <w:rPr>
          <w:rFonts w:ascii="Calibri" w:hAnsi="Calibri" w:eastAsia="Calibri" w:cs="Calibri"/>
          <w:i/>
          <w:iCs/>
          <w:color w:val="6e6e6e"/>
          <w:sz w:val="24"/>
          <w:szCs w:val="24"/>
        </w:rPr>
        <w:t xml:space="preserve">FINAL RESEARCH REPORT — SUBMISSION COVER PAGE</w:t>
      </w:r>
      <w:r>
        <w:rPr>
          <w:rFonts w:ascii="Calibri" w:hAnsi="Calibri" w:eastAsia="Calibri" w:cs="Calibri"/>
          <w:sz w:val="22"/>
          <w:szCs w:val="22"/>
        </w:rPr>
      </w:r>
    </w:p>
    <w:tbl>
      <w:tblPr>
        <w:tblStyle w:val="848"/>
        <w:tblInd w:w="185" w:type="dxa"/>
        <w:tblW w:w="109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906"/>
      </w:tblGrid>
      <w:tr>
        <w:trPr/>
        <w:tc>
          <w:tcPr>
            <w:shd w:val="clear" w:color="auto" w:fill="fbf3e3"/>
            <w:tcBorders>
              <w:top w:val="single" w:color="c9962c" w:sz="4" w:space="0"/>
              <w:left w:val="single" w:color="c9962c" w:sz="4" w:space="0"/>
              <w:bottom w:val="single" w:color="c9962c" w:sz="4" w:space="0"/>
              <w:right w:val="single" w:color="c9962c" w:sz="4" w:space="0"/>
            </w:tcBorders>
            <w:tcMar>
              <w:left w:w="300" w:type="dxa"/>
              <w:top w:w="220" w:type="dxa"/>
              <w:right w:w="300" w:type="dxa"/>
              <w:bottom w:w="260" w:type="dxa"/>
            </w:tcMar>
            <w:tcW w:w="10906" w:type="dxa"/>
          </w:tcPr>
          <w:p>
            <w:pPr>
              <w:pStyle w:val="844"/>
              <w:pBdr/>
              <w:spacing w:after="100"/>
              <w:ind/>
              <w:jc w:val="center"/>
              <w:rPr>
                <w:rFonts w:ascii="Calibri" w:hAnsi="Calibri" w:eastAsia="Calibri" w:cs="Calibri"/>
                <w:sz w:val="22"/>
                <w:szCs w:val="22"/>
              </w:rPr>
            </w:pPr>
            <w:r>
              <w:rPr>
                <w:b/>
                <w:sz w:val="26"/>
              </w:rPr>
              <w:t xml:space="preserve">AgriTrust: Constraint-Preserving QAOA for Interference-Aware Multi-Flow WSN Routing in Precision Agriculture</w:t>
            </w:r>
            <w:r>
              <w:rPr>
                <w:rFonts w:ascii="Calibri" w:hAnsi="Calibri" w:eastAsia="Calibri" w:cs="Calibri"/>
                <w:sz w:val="22"/>
                <w:szCs w:val="22"/>
              </w:rPr>
            </w:r>
          </w:p>
          <w:p>
            <w:pPr>
              <w:pStyle w:val="844"/>
              <w:pBdr/>
              <w:spacing/>
              <w:ind/>
              <w:jc w:val="center"/>
              <w:rPr>
                <w:rFonts w:ascii="Calibri" w:hAnsi="Calibri" w:eastAsia="Calibri" w:cs="Calibri"/>
                <w:sz w:val="22"/>
                <w:szCs w:val="22"/>
              </w:rPr>
            </w:pPr>
            <w:r>
              <w:rPr>
                <w:rFonts w:ascii="Calibri" w:hAnsi="Calibri" w:eastAsia="Calibri" w:cs="Calibri"/>
                <w:sz w:val="22"/>
                <w:szCs w:val="22"/>
              </w:rPr>
            </w:r>
            <w:r>
              <w:rPr>
                <w:rFonts w:ascii="Calibri" w:hAnsi="Calibri" w:eastAsia="Calibri" w:cs="Calibri"/>
                <w:sz w:val="22"/>
                <w:szCs w:val="22"/>
              </w:rPr>
            </w:r>
          </w:p>
        </w:tc>
      </w:tr>
    </w:tbl>
    <w:p>
      <w:pPr>
        <w:pStyle w:val="844"/>
        <w:pBdr/>
        <w:spacing w:after="80"/>
        <w:ind/>
        <w:rPr>
          <w:rFonts w:ascii="Calibri" w:hAnsi="Calibri" w:eastAsia="Calibri" w:cs="Calibri"/>
          <w:sz w:val="22"/>
          <w:szCs w:val="22"/>
        </w:rPr>
      </w:pPr>
      <w:r>
        <w:rPr>
          <w:rFonts w:ascii="Calibri" w:hAnsi="Calibri" w:eastAsia="Calibri" w:cs="Calibri"/>
          <w:sz w:val="22"/>
          <w:szCs w:val="22"/>
        </w:rPr>
      </w:r>
      <w:r>
        <w:rPr>
          <w:rFonts w:ascii="Calibri" w:hAnsi="Calibri" w:eastAsia="Calibri" w:cs="Calibri"/>
          <w:sz w:val="22"/>
          <w:szCs w:val="22"/>
        </w:rPr>
      </w:r>
    </w:p>
    <w:p>
      <w:pPr>
        <w:pStyle w:val="844"/>
        <w:pBdr>
          <w:left w:val="single" w:color="c9962c" w:sz="24" w:space="6"/>
        </w:pBdr>
        <w:spacing w:after="140" w:before="260"/>
        <w:ind w:left="20"/>
        <w:rPr>
          <w:rFonts w:ascii="Calibri" w:hAnsi="Calibri" w:eastAsia="Calibri" w:cs="Calibri"/>
          <w:sz w:val="22"/>
          <w:szCs w:val="22"/>
        </w:rPr>
      </w:pPr>
      <w:r>
        <w:rPr>
          <w:rFonts w:ascii="Calibri" w:hAnsi="Calibri" w:eastAsia="Calibri" w:cs="Calibri"/>
          <w:b/>
          <w:bCs/>
          <w:color w:val="0f2e5c"/>
          <w:sz w:val="23"/>
          <w:szCs w:val="23"/>
        </w:rPr>
        <w:t xml:space="preserve">PROGRAMME DETAILS</w:t>
      </w:r>
      <w:r>
        <w:rPr>
          <w:rFonts w:ascii="Calibri" w:hAnsi="Calibri" w:eastAsia="Calibri" w:cs="Calibri"/>
          <w:sz w:val="22"/>
          <w:szCs w:val="22"/>
        </w:rPr>
      </w:r>
    </w:p>
    <w:tbl>
      <w:tblPr>
        <w:tblStyle w:val="849"/>
        <w:tblInd w:w="0" w:type="dxa"/>
        <w:tblW w:w="109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000"/>
        <w:gridCol w:w="2453"/>
        <w:gridCol w:w="2453"/>
        <w:gridCol w:w="3000"/>
      </w:tblGrid>
      <w:tr>
        <w:trPr/>
        <w:tc>
          <w:tcPr>
            <w:tcBorders>
              <w:top w:val="none" w:color="000000" w:sz="4" w:space="0"/>
              <w:left w:val="none" w:color="000000" w:sz="4" w:space="0"/>
              <w:bottom w:val="none" w:color="000000" w:sz="4" w:space="0"/>
              <w:right w:val="none" w:color="000000" w:sz="4" w:space="0"/>
            </w:tcBorders>
            <w:tcW w:w="3000" w:type="dxa"/>
          </w:tcPr>
          <w:p>
            <w:pPr>
              <w:pStyle w:val="844"/>
              <w:pBdr/>
              <w:spacing/>
              <w:ind/>
              <w:rPr>
                <w:rFonts w:ascii="Calibri" w:hAnsi="Calibri" w:eastAsia="Calibri" w:cs="Calibri"/>
                <w:sz w:val="22"/>
                <w:szCs w:val="22"/>
              </w:rPr>
            </w:pPr>
            <w:r>
              <w:rPr>
                <w:rFonts w:ascii="Calibri" w:hAnsi="Calibri" w:eastAsia="Calibri" w:cs="Calibri"/>
                <w:b/>
                <w:bCs/>
                <w:color w:val="0f2e5c"/>
                <w:sz w:val="21"/>
                <w:szCs w:val="21"/>
              </w:rPr>
              <w:t xml:space="preserve">Domain / Track:</w:t>
            </w:r>
            <w:r>
              <w:rPr>
                <w:rFonts w:ascii="Calibri" w:hAnsi="Calibri" w:eastAsia="Calibri" w:cs="Calibri"/>
                <w:sz w:val="22"/>
                <w:szCs w:val="22"/>
              </w:rPr>
            </w:r>
          </w:p>
        </w:tc>
        <w:tc>
          <w:tcPr>
            <w:tcBorders>
              <w:top w:val="none" w:color="000000" w:sz="4" w:space="0"/>
              <w:left w:val="none" w:color="000000" w:sz="4" w:space="0"/>
              <w:bottom w:val="single" w:color="b7b7b7" w:sz="4" w:space="0"/>
              <w:right w:val="none" w:color="000000" w:sz="4" w:space="0"/>
            </w:tcBorders>
            <w:tcW w:w="2453" w:type="dxa"/>
          </w:tcPr>
          <w:p>
            <w:pPr>
              <w:pStyle w:val="844"/>
              <w:pBdr/>
              <w:spacing/>
              <w:ind/>
              <w:rPr>
                <w:rFonts w:ascii="Calibri" w:hAnsi="Calibri" w:eastAsia="Calibri" w:cs="Calibri"/>
                <w:sz w:val="22"/>
                <w:szCs w:val="22"/>
              </w:rPr>
            </w:pPr>
            <w:r>
              <w:t xml:space="preserve">Quantum Computing &amp; IoT</w:t>
            </w:r>
            <w:r>
              <w:rPr>
                <w:rFonts w:ascii="Calibri" w:hAnsi="Calibri" w:eastAsia="Calibri" w:cs="Calibri"/>
                <w:sz w:val="22"/>
                <w:szCs w:val="22"/>
              </w:rPr>
            </w:r>
          </w:p>
        </w:tc>
        <w:tc>
          <w:tcPr>
            <w:tcBorders>
              <w:top w:val="none" w:color="000000" w:sz="4" w:space="0"/>
              <w:left w:val="none" w:color="000000" w:sz="4" w:space="0"/>
              <w:bottom w:val="none" w:color="000000" w:sz="4" w:space="0"/>
              <w:right w:val="none" w:color="000000" w:sz="4" w:space="0"/>
            </w:tcBorders>
            <w:tcW w:w="2453" w:type="dxa"/>
          </w:tcPr>
          <w:p>
            <w:pPr>
              <w:pStyle w:val="844"/>
              <w:pBdr/>
              <w:spacing/>
              <w:ind/>
              <w:rPr>
                <w:rFonts w:ascii="Calibri" w:hAnsi="Calibri" w:eastAsia="Calibri" w:cs="Calibri"/>
                <w:sz w:val="22"/>
                <w:szCs w:val="22"/>
              </w:rPr>
            </w:pPr>
            <w:r>
              <w:rPr>
                <w:rFonts w:ascii="Calibri" w:hAnsi="Calibri" w:eastAsia="Calibri" w:cs="Calibri"/>
                <w:b/>
                <w:bCs/>
                <w:color w:val="0f2e5c"/>
                <w:sz w:val="21"/>
                <w:szCs w:val="21"/>
              </w:rPr>
              <w:t xml:space="preserve">                        Duration:</w:t>
            </w:r>
            <w:r>
              <w:rPr>
                <w:rFonts w:ascii="Calibri" w:hAnsi="Calibri" w:eastAsia="Calibri" w:cs="Calibri"/>
                <w:sz w:val="22"/>
                <w:szCs w:val="22"/>
              </w:rPr>
            </w:r>
          </w:p>
        </w:tc>
        <w:tc>
          <w:tcPr>
            <w:tcBorders>
              <w:top w:val="none" w:color="000000" w:sz="4" w:space="0"/>
              <w:left w:val="none" w:color="000000" w:sz="4" w:space="0"/>
              <w:bottom w:val="single" w:color="b7b7b7" w:sz="4" w:space="0"/>
              <w:right w:val="none" w:color="000000" w:sz="4" w:space="0"/>
            </w:tcBorders>
            <w:tcW w:w="3000" w:type="dxa"/>
          </w:tcPr>
          <w:p>
            <w:pPr>
              <w:pStyle w:val="844"/>
              <w:pBdr/>
              <w:spacing/>
              <w:ind/>
              <w:rPr>
                <w:rFonts w:ascii="Calibri" w:hAnsi="Calibri" w:eastAsia="Calibri" w:cs="Calibri"/>
                <w:sz w:val="22"/>
                <w:szCs w:val="22"/>
              </w:rPr>
            </w:pPr>
            <w:r>
              <w:t xml:space="preserve">June – August, 2026</w:t>
            </w:r>
            <w:r>
              <w:rPr>
                <w:rFonts w:ascii="Calibri" w:hAnsi="Calibri" w:eastAsia="Calibri" w:cs="Calibri"/>
                <w:sz w:val="22"/>
                <w:szCs w:val="22"/>
              </w:rPr>
            </w:r>
          </w:p>
        </w:tc>
      </w:tr>
    </w:tbl>
    <w:p>
      <w:pPr>
        <w:pStyle w:val="844"/>
        <w:pBdr/>
        <w:spacing w:after="60"/>
        <w:ind/>
        <w:rPr>
          <w:rFonts w:ascii="Calibri" w:hAnsi="Calibri" w:eastAsia="Calibri" w:cs="Calibri"/>
          <w:sz w:val="22"/>
          <w:szCs w:val="22"/>
        </w:rPr>
      </w:pPr>
      <w:r>
        <w:rPr>
          <w:rFonts w:ascii="Calibri" w:hAnsi="Calibri" w:eastAsia="Calibri" w:cs="Calibri"/>
          <w:sz w:val="22"/>
          <w:szCs w:val="22"/>
        </w:rPr>
      </w:r>
      <w:r>
        <w:rPr>
          <w:rFonts w:ascii="Calibri" w:hAnsi="Calibri" w:eastAsia="Calibri" w:cs="Calibri"/>
          <w:sz w:val="22"/>
          <w:szCs w:val="22"/>
        </w:rPr>
      </w:r>
    </w:p>
    <w:tbl>
      <w:tblPr>
        <w:tblStyle w:val="850"/>
        <w:tblInd w:w="0" w:type="dxa"/>
        <w:tblW w:w="109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000"/>
        <w:gridCol w:w="2453"/>
        <w:gridCol w:w="2453"/>
        <w:gridCol w:w="3000"/>
      </w:tblGrid>
      <w:tr>
        <w:trPr/>
        <w:tc>
          <w:tcPr>
            <w:tcBorders>
              <w:top w:val="none" w:color="000000" w:sz="4" w:space="0"/>
              <w:left w:val="none" w:color="000000" w:sz="4" w:space="0"/>
              <w:bottom w:val="none" w:color="000000" w:sz="4" w:space="0"/>
              <w:right w:val="none" w:color="000000" w:sz="4" w:space="0"/>
            </w:tcBorders>
            <w:tcW w:w="3000" w:type="dxa"/>
          </w:tcPr>
          <w:p>
            <w:pPr>
              <w:pStyle w:val="844"/>
              <w:pBdr/>
              <w:spacing/>
              <w:ind/>
              <w:rPr>
                <w:rFonts w:ascii="Calibri" w:hAnsi="Calibri" w:eastAsia="Calibri" w:cs="Calibri"/>
                <w:sz w:val="22"/>
                <w:szCs w:val="22"/>
              </w:rPr>
            </w:pPr>
            <w:r>
              <w:rPr>
                <w:rFonts w:ascii="Calibri" w:hAnsi="Calibri" w:eastAsia="Calibri" w:cs="Calibri"/>
                <w:b/>
                <w:bCs/>
                <w:color w:val="0f2e5c"/>
                <w:sz w:val="21"/>
                <w:szCs w:val="21"/>
              </w:rPr>
              <w:t xml:space="preserve">Department:</w:t>
            </w:r>
            <w:r>
              <w:rPr>
                <w:rFonts w:ascii="Calibri" w:hAnsi="Calibri" w:eastAsia="Calibri" w:cs="Calibri"/>
                <w:sz w:val="22"/>
                <w:szCs w:val="22"/>
              </w:rPr>
            </w:r>
          </w:p>
        </w:tc>
        <w:tc>
          <w:tcPr>
            <w:tcBorders>
              <w:top w:val="none" w:color="000000" w:sz="4" w:space="0"/>
              <w:left w:val="none" w:color="000000" w:sz="4" w:space="0"/>
              <w:bottom w:val="single" w:color="b7b7b7" w:sz="4" w:space="0"/>
              <w:right w:val="none" w:color="000000" w:sz="4" w:space="0"/>
            </w:tcBorders>
            <w:tcW w:w="2453" w:type="dxa"/>
          </w:tcPr>
          <w:p>
            <w:pPr>
              <w:pStyle w:val="844"/>
              <w:pBdr/>
              <w:spacing/>
              <w:ind/>
              <w:rPr>
                <w:rFonts w:ascii="Calibri" w:hAnsi="Calibri" w:eastAsia="Calibri" w:cs="Calibri"/>
                <w:sz w:val="22"/>
                <w:szCs w:val="22"/>
              </w:rPr>
            </w:pPr>
            <w:r>
              <w:t xml:space="preserve">Computer Science &amp; Engineering</w:t>
            </w:r>
            <w:r>
              <w:rPr>
                <w:rFonts w:ascii="Calibri" w:hAnsi="Calibri" w:eastAsia="Calibri" w:cs="Calibri"/>
                <w:sz w:val="22"/>
                <w:szCs w:val="22"/>
              </w:rPr>
            </w:r>
          </w:p>
        </w:tc>
        <w:tc>
          <w:tcPr>
            <w:tcBorders>
              <w:top w:val="none" w:color="000000" w:sz="4" w:space="0"/>
              <w:left w:val="none" w:color="000000" w:sz="4" w:space="0"/>
              <w:bottom w:val="none" w:color="000000" w:sz="4" w:space="0"/>
              <w:right w:val="none" w:color="000000" w:sz="4" w:space="0"/>
            </w:tcBorders>
            <w:tcW w:w="2453" w:type="dxa"/>
          </w:tcPr>
          <w:p>
            <w:pPr>
              <w:pStyle w:val="844"/>
              <w:pBdr/>
              <w:spacing/>
              <w:ind/>
              <w:rPr>
                <w:rFonts w:ascii="Calibri" w:hAnsi="Calibri" w:eastAsia="Calibri" w:cs="Calibri"/>
                <w:sz w:val="22"/>
                <w:szCs w:val="22"/>
              </w:rPr>
            </w:pPr>
            <w:r>
              <w:rPr>
                <w:rFonts w:ascii="Calibri" w:hAnsi="Calibri" w:eastAsia="Calibri" w:cs="Calibri"/>
                <w:b/>
                <w:bCs/>
                <w:color w:val="0f2e5c"/>
                <w:sz w:val="21"/>
                <w:szCs w:val="21"/>
              </w:rPr>
              <w:t xml:space="preserve">                  Batch / Year:</w:t>
            </w:r>
            <w:r>
              <w:rPr>
                <w:rFonts w:ascii="Calibri" w:hAnsi="Calibri" w:eastAsia="Calibri" w:cs="Calibri"/>
                <w:sz w:val="22"/>
                <w:szCs w:val="22"/>
              </w:rPr>
            </w:r>
          </w:p>
        </w:tc>
        <w:tc>
          <w:tcPr>
            <w:tcBorders>
              <w:top w:val="none" w:color="000000" w:sz="4" w:space="0"/>
              <w:left w:val="none" w:color="000000" w:sz="4" w:space="0"/>
              <w:bottom w:val="single" w:color="b7b7b7" w:sz="4" w:space="0"/>
              <w:right w:val="none" w:color="000000" w:sz="4" w:space="0"/>
            </w:tcBorders>
            <w:tcW w:w="3000" w:type="dxa"/>
          </w:tcPr>
          <w:p>
            <w:pPr>
              <w:pStyle w:val="844"/>
              <w:pBdr/>
              <w:spacing/>
              <w:ind/>
              <w:rPr>
                <w:rFonts w:ascii="Calibri" w:hAnsi="Calibri" w:eastAsia="Calibri" w:cs="Calibri"/>
                <w:sz w:val="22"/>
                <w:szCs w:val="22"/>
              </w:rPr>
            </w:pPr>
            <w:r>
              <w:t xml:space="preserve">2026</w:t>
            </w:r>
            <w:r>
              <w:rPr>
                <w:rFonts w:ascii="Calibri" w:hAnsi="Calibri" w:eastAsia="Calibri" w:cs="Calibri"/>
                <w:sz w:val="22"/>
                <w:szCs w:val="22"/>
              </w:rPr>
            </w:r>
          </w:p>
        </w:tc>
      </w:tr>
    </w:tbl>
    <w:p>
      <w:pPr>
        <w:pStyle w:val="844"/>
        <w:pBdr>
          <w:left w:val="single" w:color="c9962c" w:sz="24" w:space="6"/>
        </w:pBdr>
        <w:spacing w:after="140" w:before="260"/>
        <w:ind w:left="20"/>
        <w:rPr>
          <w:rFonts w:ascii="Calibri" w:hAnsi="Calibri" w:eastAsia="Calibri" w:cs="Calibri"/>
          <w:sz w:val="22"/>
          <w:szCs w:val="22"/>
        </w:rPr>
      </w:pPr>
      <w:r>
        <w:rPr>
          <w:rFonts w:ascii="Calibri" w:hAnsi="Calibri" w:eastAsia="Calibri" w:cs="Calibri"/>
          <w:b/>
          <w:bCs/>
          <w:color w:val="0f2e5c"/>
          <w:sz w:val="23"/>
          <w:szCs w:val="23"/>
        </w:rPr>
        <w:t xml:space="preserve">SUBMITTED BY</w:t>
      </w:r>
      <w:r>
        <w:rPr>
          <w:rFonts w:ascii="Calibri" w:hAnsi="Calibri" w:eastAsia="Calibri" w:cs="Calibri"/>
          <w:sz w:val="22"/>
          <w:szCs w:val="22"/>
        </w:rPr>
      </w:r>
    </w:p>
    <w:tbl>
      <w:tblPr>
        <w:tblStyle w:val="851"/>
        <w:tblInd w:w="-115" w:type="dxa"/>
        <w:tblW w:w="93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000"/>
        <w:gridCol w:w="6300"/>
      </w:tblGrid>
      <w:tr>
        <w:trPr/>
        <w:tc>
          <w:tcPr>
            <w:tcBorders>
              <w:top w:val="none" w:color="000000" w:sz="4" w:space="0"/>
              <w:left w:val="none" w:color="000000" w:sz="4" w:space="0"/>
              <w:bottom w:val="none" w:color="000000" w:sz="4" w:space="0"/>
              <w:right w:val="none" w:color="000000" w:sz="4" w:space="0"/>
            </w:tcBorders>
            <w:tcMar>
              <w:left w:w="0" w:type="dxa"/>
              <w:top w:w="60" w:type="dxa"/>
              <w:right w:w="0" w:type="dxa"/>
              <w:bottom w:w="60" w:type="dxa"/>
            </w:tcMar>
            <w:tcW w:w="3000" w:type="dxa"/>
            <w:vAlign w:val="center"/>
          </w:tcPr>
          <w:p>
            <w:pPr>
              <w:pStyle w:val="844"/>
              <w:pBdr/>
              <w:spacing/>
              <w:ind/>
              <w:rPr>
                <w:rFonts w:ascii="Calibri" w:hAnsi="Calibri" w:eastAsia="Calibri" w:cs="Calibri"/>
                <w:sz w:val="22"/>
                <w:szCs w:val="22"/>
              </w:rPr>
            </w:pPr>
            <w:r>
              <w:rPr>
                <w:rFonts w:ascii="Calibri" w:hAnsi="Calibri" w:eastAsia="Calibri" w:cs="Calibri"/>
                <w:b/>
                <w:bCs/>
                <w:color w:val="0f2e5c"/>
                <w:sz w:val="22"/>
                <w:szCs w:val="22"/>
              </w:rPr>
              <w:t xml:space="preserve">Student 1</w:t>
            </w:r>
            <w:r>
              <w:rPr>
                <w:rFonts w:ascii="Calibri" w:hAnsi="Calibri" w:eastAsia="Calibri" w:cs="Calibri"/>
                <w:sz w:val="22"/>
                <w:szCs w:val="22"/>
              </w:rPr>
            </w:r>
          </w:p>
        </w:tc>
        <w:tc>
          <w:tcPr>
            <w:tcBorders>
              <w:top w:val="none" w:color="000000" w:sz="4" w:space="0"/>
              <w:left w:val="none" w:color="000000" w:sz="4" w:space="0"/>
              <w:bottom w:val="single" w:color="b7b7b7" w:sz="4" w:space="0"/>
              <w:right w:val="none" w:color="000000" w:sz="4" w:space="0"/>
            </w:tcBorders>
            <w:tcMar>
              <w:left w:w="120" w:type="dxa"/>
              <w:top w:w="60" w:type="dxa"/>
              <w:right w:w="0" w:type="dxa"/>
              <w:bottom w:w="60" w:type="dxa"/>
            </w:tcMar>
            <w:tcW w:w="6300" w:type="dxa"/>
            <w:vAlign w:val="center"/>
          </w:tcPr>
          <w:p>
            <w:pPr>
              <w:pStyle w:val="844"/>
              <w:pBdr/>
              <w:spacing/>
              <w:ind/>
              <w:rPr>
                <w:rFonts w:ascii="Calibri" w:hAnsi="Calibri" w:eastAsia="Calibri" w:cs="Calibri"/>
                <w:sz w:val="22"/>
                <w:szCs w:val="22"/>
              </w:rPr>
            </w:pPr>
            <w:r>
              <w:t xml:space="preserve">Madhumita Chaudhury</w:t>
            </w:r>
            <w:r>
              <w:rPr>
                <w:rFonts w:ascii="Calibri" w:hAnsi="Calibri" w:eastAsia="Calibri" w:cs="Calibri"/>
                <w:sz w:val="22"/>
                <w:szCs w:val="22"/>
              </w:rPr>
            </w:r>
          </w:p>
        </w:tc>
      </w:tr>
      <w:tr>
        <w:trPr/>
        <w:tc>
          <w:tcPr>
            <w:tcBorders>
              <w:top w:val="none" w:color="000000" w:sz="4" w:space="0"/>
              <w:left w:val="none" w:color="000000" w:sz="4" w:space="0"/>
              <w:bottom w:val="none" w:color="000000" w:sz="4" w:space="0"/>
              <w:right w:val="none" w:color="000000" w:sz="4" w:space="0"/>
            </w:tcBorders>
            <w:tcMar>
              <w:left w:w="0" w:type="dxa"/>
              <w:top w:w="60" w:type="dxa"/>
              <w:right w:w="0" w:type="dxa"/>
              <w:bottom w:w="60" w:type="dxa"/>
            </w:tcMar>
            <w:tcW w:w="3000" w:type="dxa"/>
            <w:vAlign w:val="center"/>
          </w:tcPr>
          <w:p>
            <w:pPr>
              <w:pStyle w:val="844"/>
              <w:pBdr/>
              <w:spacing/>
              <w:ind/>
              <w:rPr>
                <w:rFonts w:ascii="Calibri" w:hAnsi="Calibri" w:eastAsia="Calibri" w:cs="Calibri"/>
                <w:sz w:val="22"/>
                <w:szCs w:val="22"/>
              </w:rPr>
            </w:pPr>
            <w:r>
              <w:rPr>
                <w:rFonts w:ascii="Calibri" w:hAnsi="Calibri" w:eastAsia="Calibri" w:cs="Calibri"/>
                <w:sz w:val="22"/>
                <w:szCs w:val="22"/>
              </w:rPr>
            </w:r>
            <w:r>
              <w:rPr>
                <w:rFonts w:ascii="Calibri" w:hAnsi="Calibri" w:eastAsia="Calibri" w:cs="Calibri"/>
                <w:sz w:val="22"/>
                <w:szCs w:val="22"/>
              </w:rPr>
            </w:r>
          </w:p>
        </w:tc>
        <w:tc>
          <w:tcPr>
            <w:tcBorders>
              <w:top w:val="none" w:color="000000" w:sz="4" w:space="0"/>
              <w:left w:val="none" w:color="000000" w:sz="4" w:space="0"/>
              <w:bottom w:val="single" w:color="b7b7b7" w:sz="4" w:space="0"/>
              <w:right w:val="none" w:color="000000" w:sz="4" w:space="0"/>
            </w:tcBorders>
            <w:tcMar>
              <w:left w:w="120" w:type="dxa"/>
              <w:top w:w="60" w:type="dxa"/>
              <w:right w:w="0" w:type="dxa"/>
              <w:bottom w:w="60" w:type="dxa"/>
            </w:tcMar>
            <w:tcW w:w="6300" w:type="dxa"/>
            <w:vAlign w:val="center"/>
          </w:tcPr>
          <w:p>
            <w:pPr>
              <w:pStyle w:val="844"/>
              <w:pBdr/>
              <w:spacing/>
              <w:ind/>
              <w:rPr>
                <w:rFonts w:ascii="Calibri" w:hAnsi="Calibri" w:eastAsia="Calibri" w:cs="Calibri"/>
                <w:sz w:val="22"/>
                <w:szCs w:val="22"/>
              </w:rPr>
            </w:pPr>
            <w:r>
              <w:rPr>
                <w:rFonts w:ascii="Calibri" w:hAnsi="Calibri" w:eastAsia="Calibri" w:cs="Calibri"/>
                <w:sz w:val="22"/>
                <w:szCs w:val="22"/>
              </w:rPr>
            </w:r>
            <w:r>
              <w:rPr>
                <w:rFonts w:ascii="Calibri" w:hAnsi="Calibri" w:eastAsia="Calibri" w:cs="Calibri"/>
                <w:sz w:val="22"/>
                <w:szCs w:val="22"/>
              </w:rPr>
            </w:r>
          </w:p>
        </w:tc>
      </w:tr>
      <w:tr>
        <w:trPr/>
        <w:tc>
          <w:tcPr>
            <w:tcBorders>
              <w:top w:val="none" w:color="000000" w:sz="4" w:space="0"/>
              <w:left w:val="none" w:color="000000" w:sz="4" w:space="0"/>
              <w:bottom w:val="none" w:color="000000" w:sz="4" w:space="0"/>
              <w:right w:val="none" w:color="000000" w:sz="4" w:space="0"/>
            </w:tcBorders>
            <w:tcMar>
              <w:left w:w="0" w:type="dxa"/>
              <w:top w:w="60" w:type="dxa"/>
              <w:right w:w="0" w:type="dxa"/>
              <w:bottom w:w="60" w:type="dxa"/>
            </w:tcMar>
            <w:tcW w:w="3000" w:type="dxa"/>
            <w:vAlign w:val="center"/>
          </w:tcPr>
          <w:p>
            <w:pPr>
              <w:pStyle w:val="844"/>
              <w:pBdr/>
              <w:spacing/>
              <w:ind/>
              <w:rPr>
                <w:rFonts w:ascii="Calibri" w:hAnsi="Calibri" w:eastAsia="Calibri" w:cs="Calibri"/>
                <w:sz w:val="22"/>
                <w:szCs w:val="22"/>
              </w:rPr>
            </w:pPr>
            <w:r>
              <w:rPr>
                <w:rFonts w:ascii="Calibri" w:hAnsi="Calibri" w:eastAsia="Calibri" w:cs="Calibri"/>
                <w:sz w:val="22"/>
                <w:szCs w:val="22"/>
              </w:rPr>
            </w:r>
            <w:r>
              <w:rPr>
                <w:rFonts w:ascii="Calibri" w:hAnsi="Calibri" w:eastAsia="Calibri" w:cs="Calibri"/>
                <w:sz w:val="22"/>
                <w:szCs w:val="22"/>
              </w:rPr>
            </w:r>
          </w:p>
        </w:tc>
        <w:tc>
          <w:tcPr>
            <w:tcBorders>
              <w:top w:val="none" w:color="000000" w:sz="4" w:space="0"/>
              <w:left w:val="none" w:color="000000" w:sz="4" w:space="0"/>
              <w:bottom w:val="single" w:color="b7b7b7" w:sz="4" w:space="0"/>
              <w:right w:val="none" w:color="000000" w:sz="4" w:space="0"/>
            </w:tcBorders>
            <w:tcMar>
              <w:left w:w="120" w:type="dxa"/>
              <w:top w:w="60" w:type="dxa"/>
              <w:right w:w="0" w:type="dxa"/>
              <w:bottom w:w="60" w:type="dxa"/>
            </w:tcMar>
            <w:tcW w:w="6300" w:type="dxa"/>
            <w:vAlign w:val="center"/>
          </w:tcPr>
          <w:p>
            <w:pPr>
              <w:pStyle w:val="844"/>
              <w:pBdr/>
              <w:spacing/>
              <w:ind/>
              <w:rPr>
                <w:rFonts w:ascii="Calibri" w:hAnsi="Calibri" w:eastAsia="Calibri" w:cs="Calibri"/>
                <w:sz w:val="22"/>
                <w:szCs w:val="22"/>
              </w:rPr>
            </w:pPr>
            <w:r>
              <w:rPr>
                <w:rFonts w:ascii="Calibri" w:hAnsi="Calibri" w:eastAsia="Calibri" w:cs="Calibri"/>
                <w:sz w:val="22"/>
                <w:szCs w:val="22"/>
              </w:rPr>
            </w:r>
            <w:r>
              <w:rPr>
                <w:rFonts w:ascii="Calibri" w:hAnsi="Calibri" w:eastAsia="Calibri" w:cs="Calibri"/>
                <w:sz w:val="22"/>
                <w:szCs w:val="22"/>
              </w:rPr>
            </w:r>
          </w:p>
        </w:tc>
      </w:tr>
    </w:tbl>
    <w:p>
      <w:pPr>
        <w:pStyle w:val="844"/>
        <w:pBdr>
          <w:left w:val="single" w:color="c9962c" w:sz="24" w:space="6"/>
        </w:pBdr>
        <w:spacing w:after="140" w:before="260"/>
        <w:ind w:left="20"/>
        <w:rPr>
          <w:rFonts w:ascii="Calibri" w:hAnsi="Calibri" w:eastAsia="Calibri" w:cs="Calibri"/>
          <w:sz w:val="22"/>
          <w:szCs w:val="22"/>
        </w:rPr>
      </w:pPr>
      <w:r>
        <w:rPr>
          <w:rFonts w:ascii="Calibri" w:hAnsi="Calibri" w:eastAsia="Calibri" w:cs="Calibri"/>
          <w:b/>
          <w:bCs/>
          <w:color w:val="0f2e5c"/>
          <w:sz w:val="23"/>
          <w:szCs w:val="23"/>
        </w:rPr>
        <w:t xml:space="preserve">UNDER THE MENTORSHIP OF</w:t>
      </w:r>
      <w:r>
        <w:rPr>
          <w:rFonts w:ascii="Calibri" w:hAnsi="Calibri" w:eastAsia="Calibri" w:cs="Calibri"/>
          <w:sz w:val="22"/>
          <w:szCs w:val="22"/>
        </w:rPr>
      </w:r>
    </w:p>
    <w:tbl>
      <w:tblPr>
        <w:tblStyle w:val="852"/>
        <w:tblInd w:w="-115" w:type="dxa"/>
        <w:tblW w:w="930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3000"/>
        <w:gridCol w:w="6300"/>
      </w:tblGrid>
      <w:tr>
        <w:trPr/>
        <w:tc>
          <w:tcPr>
            <w:tcBorders>
              <w:top w:val="none" w:color="000000" w:sz="4" w:space="0"/>
              <w:left w:val="none" w:color="000000" w:sz="4" w:space="0"/>
              <w:bottom w:val="none" w:color="000000" w:sz="4" w:space="0"/>
              <w:right w:val="none" w:color="000000" w:sz="4" w:space="0"/>
            </w:tcBorders>
            <w:tcMar>
              <w:left w:w="0" w:type="dxa"/>
              <w:top w:w="60" w:type="dxa"/>
              <w:right w:w="0" w:type="dxa"/>
              <w:bottom w:w="60" w:type="dxa"/>
            </w:tcMar>
            <w:tcW w:w="3000" w:type="dxa"/>
            <w:vAlign w:val="center"/>
          </w:tcPr>
          <w:p>
            <w:pPr>
              <w:pStyle w:val="844"/>
              <w:pBdr/>
              <w:spacing/>
              <w:ind/>
              <w:rPr>
                <w:rFonts w:ascii="Calibri" w:hAnsi="Calibri" w:eastAsia="Calibri" w:cs="Calibri"/>
                <w:sz w:val="22"/>
                <w:szCs w:val="22"/>
              </w:rPr>
            </w:pPr>
            <w:r>
              <w:rPr>
                <w:rFonts w:ascii="Calibri" w:hAnsi="Calibri" w:eastAsia="Calibri" w:cs="Calibri"/>
                <w:b/>
                <w:bCs/>
                <w:color w:val="0f2e5c"/>
                <w:sz w:val="22"/>
                <w:szCs w:val="22"/>
              </w:rPr>
              <w:t xml:space="preserve">Mentor Name</w:t>
            </w:r>
            <w:r>
              <w:rPr>
                <w:rFonts w:ascii="Calibri" w:hAnsi="Calibri" w:eastAsia="Calibri" w:cs="Calibri"/>
                <w:sz w:val="22"/>
                <w:szCs w:val="22"/>
              </w:rPr>
            </w:r>
          </w:p>
        </w:tc>
        <w:tc>
          <w:tcPr>
            <w:tcBorders>
              <w:top w:val="none" w:color="000000" w:sz="4" w:space="0"/>
              <w:left w:val="none" w:color="000000" w:sz="4" w:space="0"/>
              <w:bottom w:val="single" w:color="b7b7b7" w:sz="4" w:space="0"/>
              <w:right w:val="none" w:color="000000" w:sz="4" w:space="0"/>
            </w:tcBorders>
            <w:tcMar>
              <w:left w:w="120" w:type="dxa"/>
              <w:top w:w="60" w:type="dxa"/>
              <w:right w:w="0" w:type="dxa"/>
              <w:bottom w:w="60" w:type="dxa"/>
            </w:tcMar>
            <w:tcW w:w="6300" w:type="dxa"/>
            <w:vAlign w:val="center"/>
          </w:tcPr>
          <w:p>
            <w:pPr>
              <w:pStyle w:val="844"/>
              <w:pBdr/>
              <w:spacing/>
              <w:ind/>
              <w:rPr>
                <w:rFonts w:ascii="Calibri" w:hAnsi="Calibri" w:eastAsia="Calibri" w:cs="Calibri"/>
                <w:sz w:val="22"/>
                <w:szCs w:val="22"/>
              </w:rPr>
            </w:pPr>
            <w:r>
              <w:t xml:space="preserve">Kaustabh Ganguly</w:t>
            </w:r>
            <w:r>
              <w:rPr>
                <w:rFonts w:ascii="Calibri" w:hAnsi="Calibri" w:eastAsia="Calibri" w:cs="Calibri"/>
                <w:sz w:val="22"/>
                <w:szCs w:val="22"/>
              </w:rPr>
            </w:r>
          </w:p>
        </w:tc>
      </w:tr>
      <w:tr>
        <w:trPr/>
        <w:tc>
          <w:tcPr>
            <w:tcBorders>
              <w:top w:val="none" w:color="000000" w:sz="4" w:space="0"/>
              <w:left w:val="none" w:color="000000" w:sz="4" w:space="0"/>
              <w:bottom w:val="none" w:color="000000" w:sz="4" w:space="0"/>
              <w:right w:val="none" w:color="000000" w:sz="4" w:space="0"/>
            </w:tcBorders>
            <w:tcMar>
              <w:left w:w="0" w:type="dxa"/>
              <w:top w:w="60" w:type="dxa"/>
              <w:right w:w="0" w:type="dxa"/>
              <w:bottom w:w="60" w:type="dxa"/>
            </w:tcMar>
            <w:tcW w:w="3000" w:type="dxa"/>
            <w:vAlign w:val="center"/>
          </w:tcPr>
          <w:p>
            <w:pPr>
              <w:pStyle w:val="844"/>
              <w:pBdr/>
              <w:spacing/>
              <w:ind/>
              <w:rPr>
                <w:rFonts w:ascii="Calibri" w:hAnsi="Calibri" w:eastAsia="Calibri" w:cs="Calibri"/>
                <w:sz w:val="22"/>
                <w:szCs w:val="22"/>
              </w:rPr>
            </w:pPr>
            <w:r>
              <w:rPr>
                <w:rFonts w:ascii="Calibri" w:hAnsi="Calibri" w:eastAsia="Calibri" w:cs="Calibri"/>
                <w:b/>
                <w:bCs/>
                <w:color w:val="0f2e5c"/>
                <w:sz w:val="22"/>
                <w:szCs w:val="22"/>
              </w:rPr>
              <w:t xml:space="preserve">Affiliation</w:t>
            </w:r>
            <w:r>
              <w:rPr>
                <w:rFonts w:ascii="Calibri" w:hAnsi="Calibri" w:eastAsia="Calibri" w:cs="Calibri"/>
                <w:sz w:val="22"/>
                <w:szCs w:val="22"/>
              </w:rPr>
            </w:r>
          </w:p>
        </w:tc>
        <w:tc>
          <w:tcPr>
            <w:tcBorders>
              <w:top w:val="none" w:color="000000" w:sz="4" w:space="0"/>
              <w:left w:val="none" w:color="000000" w:sz="4" w:space="0"/>
              <w:bottom w:val="single" w:color="b7b7b7" w:sz="4" w:space="0"/>
              <w:right w:val="none" w:color="000000" w:sz="4" w:space="0"/>
            </w:tcBorders>
            <w:tcMar>
              <w:left w:w="120" w:type="dxa"/>
              <w:top w:w="60" w:type="dxa"/>
              <w:right w:w="0" w:type="dxa"/>
              <w:bottom w:w="60" w:type="dxa"/>
            </w:tcMar>
            <w:tcW w:w="6300" w:type="dxa"/>
            <w:vAlign w:val="center"/>
          </w:tcPr>
          <w:p>
            <w:pPr>
              <w:pStyle w:val="844"/>
              <w:pBdr/>
              <w:spacing/>
              <w:ind/>
              <w:rPr>
                <w:rFonts w:ascii="Calibri" w:hAnsi="Calibri" w:eastAsia="Calibri" w:cs="Calibri"/>
                <w:sz w:val="22"/>
                <w:szCs w:val="22"/>
              </w:rPr>
            </w:pPr>
            <w:r>
              <w:t xml:space="preserve">Senior AI/ML Engineer, Gracenote</w:t>
            </w:r>
            <w:r>
              <w:rPr>
                <w:rFonts w:ascii="Calibri" w:hAnsi="Calibri" w:eastAsia="Calibri" w:cs="Calibri"/>
                <w:sz w:val="22"/>
                <w:szCs w:val="22"/>
              </w:rPr>
            </w:r>
          </w:p>
        </w:tc>
      </w:tr>
    </w:tbl>
    <w:p>
      <w:pPr>
        <w:pStyle w:val="844"/>
        <w:pBdr>
          <w:left w:val="single" w:color="c9962c" w:sz="24" w:space="6"/>
        </w:pBdr>
        <w:spacing w:after="140" w:before="260"/>
        <w:ind w:left="20"/>
        <w:rPr>
          <w:rFonts w:ascii="Calibri" w:hAnsi="Calibri" w:eastAsia="Calibri" w:cs="Calibri"/>
          <w:sz w:val="22"/>
          <w:szCs w:val="22"/>
        </w:rPr>
      </w:pPr>
      <w:r>
        <w:rPr>
          <w:rFonts w:ascii="Calibri" w:hAnsi="Calibri" w:eastAsia="Calibri" w:cs="Calibri"/>
          <w:b/>
          <w:bCs/>
          <w:color w:val="0f2e5c"/>
          <w:sz w:val="23"/>
          <w:szCs w:val="23"/>
        </w:rPr>
        <w:t xml:space="preserve">DECLARATION</w:t>
      </w:r>
      <w:r>
        <w:rPr>
          <w:rFonts w:ascii="Calibri" w:hAnsi="Calibri" w:eastAsia="Calibri" w:cs="Calibri"/>
          <w:sz w:val="22"/>
          <w:szCs w:val="22"/>
        </w:rPr>
      </w:r>
    </w:p>
    <w:p>
      <w:pPr>
        <w:pStyle w:val="844"/>
        <w:pBdr/>
        <w:spacing w:after="260"/>
        <w:ind/>
        <w:jc w:val="both"/>
        <w:rPr>
          <w:rFonts w:ascii="Calibri" w:hAnsi="Calibri" w:eastAsia="Calibri" w:cs="Calibri"/>
          <w:sz w:val="22"/>
          <w:szCs w:val="22"/>
        </w:rPr>
      </w:pPr>
      <w:r>
        <w:rPr>
          <w:rFonts w:ascii="Calibri" w:hAnsi="Calibri" w:eastAsia="Calibri" w:cs="Calibri"/>
          <w:i/>
          <w:iCs/>
          <w:color w:val="444444"/>
          <w:sz w:val="21"/>
          <w:szCs w:val="21"/>
        </w:rPr>
        <w:t xml:space="preserve">We hereby declare that this report is a record of genuine work carried out by us under the guidance of the above-mentioned mentor, as part of the IEEE SMC Student Branch Chapter, KGEC — Research Internship Programme 2026, and has not been submitted elsewhe</w:t>
      </w:r>
      <w:r>
        <w:rPr>
          <w:rFonts w:ascii="Calibri" w:hAnsi="Calibri" w:eastAsia="Calibri" w:cs="Calibri"/>
          <w:i/>
          <w:iCs/>
          <w:color w:val="444444"/>
          <w:sz w:val="21"/>
          <w:szCs w:val="21"/>
        </w:rPr>
        <w:t xml:space="preserve">re for any other purpose.</w:t>
      </w:r>
      <w:r>
        <w:rPr>
          <w:rFonts w:ascii="Calibri" w:hAnsi="Calibri" w:eastAsia="Calibri" w:cs="Calibri"/>
          <w:sz w:val="22"/>
          <w:szCs w:val="22"/>
        </w:rPr>
      </w:r>
    </w:p>
    <w:tbl>
      <w:tblPr>
        <w:tblStyle w:val="853"/>
        <w:tblInd w:w="85" w:type="dxa"/>
        <w:tblW w:w="109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453"/>
        <w:gridCol w:w="5453"/>
      </w:tblGrid>
      <w:tr>
        <w:trPr/>
        <w:tc>
          <w:tcPr>
            <w:tcBorders>
              <w:top w:val="none" w:color="000000" w:sz="4" w:space="0"/>
              <w:left w:val="none" w:color="000000" w:sz="4" w:space="0"/>
              <w:bottom w:val="none" w:color="000000" w:sz="4" w:space="0"/>
              <w:right w:val="none" w:color="000000" w:sz="4" w:space="0"/>
            </w:tcBorders>
            <w:tcMar>
              <w:left w:w="200" w:type="dxa"/>
              <w:top w:w="100" w:type="dxa"/>
              <w:right w:w="200" w:type="dxa"/>
              <w:bottom w:w="0" w:type="dxa"/>
            </w:tcMar>
            <w:tcW w:w="5453" w:type="dxa"/>
          </w:tcPr>
          <w:p>
            <w:pPr>
              <w:pStyle w:val="844"/>
              <w:pBdr>
                <w:top w:val="single" w:color="999999" w:sz="4" w:space="0"/>
              </w:pBdr>
              <w:spacing w:after="60"/>
              <w:ind/>
              <w:jc w:val="center"/>
              <w:rPr>
                <w:rFonts w:ascii="Calibri" w:hAnsi="Calibri" w:eastAsia="Calibri" w:cs="Calibri"/>
                <w:sz w:val="22"/>
                <w:szCs w:val="22"/>
              </w:rPr>
            </w:pPr>
            <w:r>
              <w:rPr>
                <w:rFonts w:ascii="Calibri" w:hAnsi="Calibri" w:eastAsia="Calibri" w:cs="Calibri"/>
                <w:sz w:val="22"/>
                <w:szCs w:val="22"/>
              </w:rPr>
              <w:t xml:space="preserve">Kaustabh Ganguly</w:t>
            </w:r>
            <w:r>
              <w:rPr>
                <w:rFonts w:ascii="Calibri" w:hAnsi="Calibri" w:eastAsia="Calibri" w:cs="Calibri"/>
                <w:sz w:val="22"/>
                <w:szCs w:val="22"/>
              </w:rPr>
            </w:r>
          </w:p>
          <w:p>
            <w:pPr>
              <w:pStyle w:val="844"/>
              <w:pBdr/>
              <w:spacing/>
              <w:ind/>
              <w:jc w:val="center"/>
              <w:rPr>
                <w:rFonts w:ascii="Calibri" w:hAnsi="Calibri" w:eastAsia="Calibri" w:cs="Calibri"/>
                <w:sz w:val="22"/>
                <w:szCs w:val="22"/>
              </w:rPr>
            </w:pPr>
            <w:r>
              <w:rPr>
                <w:rFonts w:ascii="Calibri" w:hAnsi="Calibri" w:eastAsia="Calibri" w:cs="Calibri"/>
                <w:b/>
                <w:bCs/>
                <w:color w:val="0f2e5c"/>
              </w:rPr>
              <w:t xml:space="preserve">Mentor's Signature</w:t>
            </w:r>
            <w:r>
              <w:rPr>
                <w:rFonts w:ascii="Calibri" w:hAnsi="Calibri" w:eastAsia="Calibri" w:cs="Calibri"/>
                <w:sz w:val="22"/>
                <w:szCs w:val="22"/>
              </w:rPr>
            </w:r>
          </w:p>
        </w:tc>
        <w:tc>
          <w:tcPr>
            <w:tcBorders>
              <w:top w:val="none" w:color="000000" w:sz="4" w:space="0"/>
              <w:left w:val="none" w:color="000000" w:sz="4" w:space="0"/>
              <w:bottom w:val="none" w:color="000000" w:sz="4" w:space="0"/>
              <w:right w:val="none" w:color="000000" w:sz="4" w:space="0"/>
            </w:tcBorders>
            <w:tcMar>
              <w:left w:w="200" w:type="dxa"/>
              <w:top w:w="100" w:type="dxa"/>
              <w:right w:w="200" w:type="dxa"/>
              <w:bottom w:w="0" w:type="dxa"/>
            </w:tcMar>
            <w:tcW w:w="5453" w:type="dxa"/>
          </w:tcPr>
          <w:p>
            <w:pPr>
              <w:pStyle w:val="844"/>
              <w:pBdr>
                <w:top w:val="single" w:color="999999" w:sz="4" w:space="0"/>
              </w:pBdr>
              <w:spacing w:after="60"/>
              <w:ind/>
              <w:jc w:val="center"/>
              <w:rPr>
                <w:rFonts w:ascii="Calibri" w:hAnsi="Calibri" w:eastAsia="Calibri" w:cs="Calibri"/>
                <w:sz w:val="22"/>
                <w:szCs w:val="22"/>
              </w:rPr>
            </w:pPr>
            <w:r>
              <w:rPr>
                <w:rFonts w:ascii="Calibri" w:hAnsi="Calibri" w:eastAsia="Calibri" w:cs="Calibri"/>
                <w:sz w:val="22"/>
                <w:szCs w:val="22"/>
              </w:rPr>
            </w:r>
            <w:r>
              <w:rPr>
                <w:rFonts w:ascii="Calibri" w:hAnsi="Calibri" w:eastAsia="Calibri" w:cs="Calibri"/>
                <w:sz w:val="22"/>
                <w:szCs w:val="22"/>
              </w:rPr>
            </w:r>
          </w:p>
          <w:p>
            <w:pPr>
              <w:pStyle w:val="844"/>
              <w:pBdr/>
              <w:spacing/>
              <w:ind/>
              <w:jc w:val="center"/>
              <w:rPr>
                <w:rFonts w:ascii="Calibri" w:hAnsi="Calibri" w:eastAsia="Calibri" w:cs="Calibri"/>
                <w:sz w:val="22"/>
                <w:szCs w:val="22"/>
              </w:rPr>
            </w:pPr>
            <w:r>
              <w:rPr>
                <w:rFonts w:ascii="Calibri" w:hAnsi="Calibri" w:eastAsia="Calibri" w:cs="Calibri"/>
                <w:b/>
                <w:bCs/>
                <w:color w:val="0f2e5c"/>
              </w:rPr>
              <w:t xml:space="preserve">Programme Coordinator</w:t>
            </w:r>
            <w:r>
              <w:rPr>
                <w:rFonts w:ascii="Calibri" w:hAnsi="Calibri" w:eastAsia="Calibri" w:cs="Calibri"/>
                <w:sz w:val="22"/>
                <w:szCs w:val="22"/>
              </w:rPr>
            </w:r>
          </w:p>
        </w:tc>
      </w:tr>
    </w:tbl>
    <w:p>
      <w:pPr>
        <w:pStyle w:val="844"/>
        <w:pBdr/>
        <w:spacing w:after="220"/>
        <w:ind/>
        <w:rPr>
          <w:rFonts w:ascii="Calibri" w:hAnsi="Calibri" w:eastAsia="Calibri" w:cs="Calibri"/>
          <w:sz w:val="22"/>
          <w:szCs w:val="22"/>
        </w:rPr>
      </w:pPr>
      <w:r>
        <w:rPr>
          <w:rFonts w:ascii="Calibri" w:hAnsi="Calibri" w:eastAsia="Calibri" w:cs="Calibri"/>
          <w:sz w:val="22"/>
          <w:szCs w:val="22"/>
        </w:rPr>
      </w:r>
      <w:r>
        <w:rPr>
          <w:rFonts w:ascii="Calibri" w:hAnsi="Calibri" w:eastAsia="Calibri" w:cs="Calibri"/>
          <w:sz w:val="22"/>
          <w:szCs w:val="22"/>
        </w:rPr>
      </w:r>
    </w:p>
    <w:tbl>
      <w:tblPr>
        <w:tblStyle w:val="854"/>
        <w:tblInd w:w="185" w:type="dxa"/>
        <w:tblW w:w="1090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906"/>
      </w:tblGrid>
      <w:tr>
        <w:trPr/>
        <w:tc>
          <w:tcPr>
            <w:shd w:val="clear" w:color="auto" w:fill="f4f6fa"/>
            <w:tcBorders>
              <w:top w:val="single" w:color="c9962c" w:sz="4" w:space="0"/>
            </w:tcBorders>
            <w:tcMar>
              <w:left w:w="300" w:type="dxa"/>
              <w:top w:w="140" w:type="dxa"/>
              <w:right w:w="300" w:type="dxa"/>
              <w:bottom w:w="140" w:type="dxa"/>
            </w:tcMar>
            <w:tcW w:w="10906" w:type="dxa"/>
          </w:tcPr>
          <w:p>
            <w:pPr>
              <w:pStyle w:val="844"/>
              <w:pBdr/>
              <w:spacing/>
              <w:ind/>
              <w:jc w:val="center"/>
              <w:rPr>
                <w:rFonts w:ascii="Calibri" w:hAnsi="Calibri" w:eastAsia="Calibri" w:cs="Calibri"/>
                <w:sz w:val="22"/>
                <w:szCs w:val="22"/>
              </w:rPr>
            </w:pPr>
            <w:r>
              <w:t xml:space="preserve">IEEE SMC Student Branch Chapter, KGEC  |  Research Internship Programme 2026  |  Date of Submission: [ 20 / 08 / 2026 ]</w:t>
            </w:r>
            <w:r>
              <w:rPr>
                <w:rFonts w:ascii="Calibri" w:hAnsi="Calibri" w:eastAsia="Calibri" w:cs="Calibri"/>
                <w:sz w:val="22"/>
                <w:szCs w:val="22"/>
              </w:rPr>
            </w:r>
          </w:p>
        </w:tc>
      </w:tr>
    </w:tbl>
    <w:p>
      <w:pPr>
        <w:pBdr/>
        <w:spacing/>
        <w:ind/>
        <w:rPr/>
      </w:pPr>
      <w:r>
        <w:br w:type="page" w:clear="all"/>
      </w:r>
      <w:r/>
    </w:p>
    <w:p>
      <w:pPr>
        <w:pBdr/>
        <w:spacing/>
        <w:ind/>
        <w:jc w:val="center"/>
        <w:rPr/>
      </w:pPr>
      <w:r>
        <w:rPr>
          <w:b/>
          <w:sz w:val="32"/>
        </w:rPr>
        <w:t xml:space="preserve">AgriTrust-MF</w:t>
      </w:r>
      <w:r/>
    </w:p>
    <w:p>
      <w:pPr>
        <w:pBdr/>
        <w:spacing/>
        <w:ind/>
        <w:jc w:val="center"/>
        <w:rPr/>
      </w:pPr>
      <w:r>
        <w:rPr>
          <w:b/>
          <w:sz w:val="26"/>
        </w:rPr>
        <w:t xml:space="preserve">Constraint-Preserving QAOA for</w:t>
        <w:br/>
        <w:t xml:space="preserve">Interference-Aware Multi-Flow WSN Routing</w:t>
      </w:r>
      <w:r/>
    </w:p>
    <w:p>
      <w:pPr>
        <w:pBdr/>
        <w:spacing/>
        <w:ind/>
        <w:jc w:val="center"/>
        <w:rPr/>
      </w:pPr>
      <w:r>
        <w:rPr>
          <w:i/>
          <w:sz w:val="20"/>
        </w:rPr>
        <w:t xml:space="preserve">Research Story, Methodology, Experimental Design, and Limitations</w:t>
      </w:r>
      <w:r/>
    </w:p>
    <w:p>
      <w:pPr>
        <w:pBdr/>
        <w:spacing/>
        <w:ind/>
        <w:jc w:val="center"/>
        <w:rPr/>
      </w:pPr>
      <w:r>
        <w:rPr>
          <w:i/>
          <w:sz w:val="18"/>
        </w:rPr>
        <w:t xml:space="preserve">Basis: revised experimental notebook - AgriTrust_MultiFlow_FINAL_REVISED</w:t>
      </w:r>
      <w:r/>
    </w:p>
    <w:p>
      <w:pPr>
        <w:pBdr/>
        <w:spacing/>
        <w:ind/>
        <w:rPr/>
      </w:pPr>
      <w:r/>
      <w:r/>
    </w:p>
    <w:p>
      <w:pPr>
        <w:pStyle w:val="834"/>
        <w:pBdr/>
        <w:spacing/>
        <w:ind/>
        <w:rPr/>
      </w:pPr>
      <w:r>
        <w:t xml:space="preserve">Contents</w:t>
      </w:r>
      <w:r/>
    </w:p>
    <w:p>
      <w:pPr>
        <w:pBdr/>
        <w:spacing/>
        <w:ind/>
        <w:rPr/>
      </w:pPr>
      <w:r>
        <w:t xml:space="preserve">1. Executive Summary</w:t>
      </w:r>
      <w:r/>
    </w:p>
    <w:p>
      <w:pPr>
        <w:pBdr/>
        <w:spacing/>
        <w:ind/>
        <w:rPr/>
      </w:pPr>
      <w:r>
        <w:t xml:space="preserve">2. The Research Story: A Smart Farm with Many Simultaneous Data Flows</w:t>
      </w:r>
      <w:r/>
    </w:p>
    <w:p>
      <w:pPr>
        <w:pBdr/>
        <w:spacing/>
        <w:ind/>
        <w:rPr/>
      </w:pPr>
      <w:r>
        <w:t xml:space="preserve">3. What Changed from the Earlier AgriTrust Idea</w:t>
      </w:r>
      <w:r/>
    </w:p>
    <w:p>
      <w:pPr>
        <w:pBdr/>
        <w:spacing/>
        <w:ind/>
        <w:rPr/>
      </w:pPr>
      <w:r>
        <w:t xml:space="preserve">4. Step-by-Step Methodology</w:t>
      </w:r>
      <w:r/>
    </w:p>
    <w:p>
      <w:pPr>
        <w:pBdr/>
        <w:spacing/>
        <w:ind/>
        <w:rPr/>
      </w:pPr>
      <w:r>
        <w:t xml:space="preserve">5. The Quantum Part in Simple Language</w:t>
      </w:r>
      <w:r/>
    </w:p>
    <w:p>
      <w:pPr>
        <w:pBdr/>
        <w:spacing/>
        <w:ind/>
        <w:rPr/>
      </w:pPr>
      <w:r>
        <w:t xml:space="preserve">6. Classical Baselines and Fair Evaluation</w:t>
      </w:r>
      <w:r/>
    </w:p>
    <w:p>
      <w:pPr>
        <w:pBdr/>
        <w:spacing/>
        <w:ind/>
        <w:rPr/>
      </w:pPr>
      <w:r>
        <w:t xml:space="preserve">7. Experimental Design</w:t>
      </w:r>
      <w:r/>
    </w:p>
    <w:p>
      <w:pPr>
        <w:pBdr/>
        <w:spacing/>
        <w:ind/>
        <w:rPr/>
      </w:pPr>
      <w:r>
        <w:t xml:space="preserve">8. What the Study Can and Cannot Claim</w:t>
      </w:r>
      <w:r/>
    </w:p>
    <w:p>
      <w:pPr>
        <w:pBdr/>
        <w:spacing/>
        <w:ind/>
        <w:rPr/>
      </w:pPr>
      <w:r>
        <w:t xml:space="preserve">9. Methodological Considerations and Remaining Issues</w:t>
      </w:r>
      <w:r/>
    </w:p>
    <w:p>
      <w:pPr>
        <w:pBdr/>
        <w:spacing/>
        <w:ind/>
        <w:rPr/>
      </w:pPr>
      <w:r>
        <w:t xml:space="preserve">10. Concise Research Summary</w:t>
      </w:r>
      <w:r/>
    </w:p>
    <w:p>
      <w:pPr>
        <w:pBdr/>
        <w:spacing/>
        <w:ind/>
        <w:rPr>
          <w:highlight w:val="none"/>
        </w:rPr>
      </w:pPr>
      <w:r>
        <w:t xml:space="preserve">11. Final Research Message</w:t>
      </w:r>
      <w:r/>
    </w:p>
    <w:p w14:paraId="2EF340F4">
      <w:pPr>
        <w:pBdr/>
        <w:spacing/>
        <w:ind/>
        <w:rPr/>
      </w:pPr>
      <w:r/>
      <w:r/>
      <w:r/>
    </w:p>
    <w:p w14:paraId="3A2C9C43">
      <w:pPr>
        <w:pBdr/>
        <w:spacing/>
        <w:ind/>
        <w:rPr/>
      </w:pPr>
      <w:r>
        <w:rPr>
          <w:highlight w:val="none"/>
        </w:rPr>
      </w:r>
      <w:r>
        <w:rPr>
          <w:highlight w:val="none"/>
        </w:rPr>
      </w:r>
      <w:r>
        <w:rPr>
          <w:highlight w:val="none"/>
        </w:rPr>
      </w:r>
    </w:p>
    <w:p>
      <w:pPr>
        <w:pStyle w:val="834"/>
        <w:pBdr/>
        <w:spacing/>
        <w:ind/>
        <w:rPr/>
      </w:pPr>
      <w:r>
        <w:t xml:space="preserve">1. Executive Summary</w:t>
      </w:r>
      <w:r/>
    </w:p>
    <w:p>
      <w:pPr>
        <w:pBdr/>
        <w:spacing/>
        <w:ind/>
        <w:rPr/>
      </w:pPr>
      <w:r>
        <w:t xml:space="preserve">The revised research studies a realistic routing situation in which several wireless sensor nodes send data to the same sink at the same time. Every flow has several feasible candidate paths. The important difficulty is that the route sel</w:t>
      </w:r>
      <w:r>
        <w:t xml:space="preserve">ected for one flow can affect the routes of other flows through wireless interference and congestion. Therefore, the task is not to find one shortest path. The task is to select one path for every flow jointly so that the overall network cost is minimized.</w:t>
      </w:r>
      <w:r/>
    </w:p>
    <w:p>
      <w:pPr>
        <w:pBdr/>
        <w:spacing/>
        <w:ind/>
        <w:rPr/>
      </w:pPr>
      <w:r>
        <w:t xml:space="preserve">The proposed quantum method represents each flow by a one-hot block of route choices. A W/Dicke-1 initial state starts each block with exactly one active route, and a block-wise XY mixer allows the algorithm to explore different route</w:t>
      </w:r>
      <w:r>
        <w:t xml:space="preserve">s while preserving that exactly-one condition. The cost Hamiltonian contains individual route quality and cross-flow interaction costs. The method is compared against exact classical ground truth, simulated annealing, and conventional penalty-based X-QAOA.</w:t>
      </w:r>
      <w:r/>
    </w:p>
    <w:p>
      <w:pPr>
        <w:pBdr/>
        <w:spacing/>
        <w:ind/>
        <w:rPr/>
      </w:pPr>
      <w:r>
        <w:rPr>
          <w:b/>
        </w:rPr>
        <w:t xml:space="preserve">Central research question</w:t>
        <w:br/>
      </w:r>
      <w:r>
        <w:t xml:space="preserve">For an interference-c</w:t>
      </w:r>
      <w:r>
        <w:t xml:space="preserve">oupled multi-flow WSN routing problem, does constraint-preserving W-state + XY-QAOA keep more probability inside valid routing solutions and produce better-quality feasible solutions than conventional penalty-X QAOA, without making a quantum-speedup claim?</w:t>
      </w:r>
      <w:r/>
    </w:p>
    <w:p>
      <w:pPr>
        <w:pBdr/>
        <w:spacing/>
        <w:ind/>
        <w:rPr>
          <w:highlight w:val="none"/>
        </w:rPr>
      </w:pPr>
      <w:r>
        <w:t xml:space="preserve">The work currently uses 20 pre-declared network seeds between 10 and 500, </w:t>
      </w:r>
      <w:r>
        <w:t xml:space="preserve">with the same instances given to all competing methods. The principal scaling configurations are 9, 12, 16 and 20 qubits. The primary study is an ideal-statevector QAOA benchmark with finite-shot, circuit-resource and noise evaluations reported separately.</w:t>
      </w:r>
      <w:r/>
    </w:p>
    <w:p w14:paraId="6EF1FC25">
      <w:pPr>
        <w:pBdr/>
        <w:spacing/>
        <w:ind/>
        <w:rPr/>
      </w:pPr>
      <w:r/>
      <w:r/>
      <w:r/>
    </w:p>
    <w:p w14:paraId="755ED810">
      <w:pPr>
        <w:pBdr/>
        <w:spacing/>
        <w:ind/>
        <w:rPr/>
      </w:pPr>
      <w:r>
        <w:rPr>
          <w:highlight w:val="none"/>
        </w:rPr>
      </w:r>
      <w:r>
        <w:rPr>
          <w:highlight w:val="none"/>
        </w:rPr>
      </w:r>
      <w:r>
        <w:rPr>
          <w:highlight w:val="none"/>
        </w:rPr>
      </w:r>
    </w:p>
    <w:p>
      <w:pPr>
        <w:pStyle w:val="834"/>
        <w:pBdr/>
        <w:spacing/>
        <w:ind/>
        <w:rPr/>
      </w:pPr>
      <w:r>
        <w:t xml:space="preserve">2. The Research Story: A Smart Farm with Many Simultaneous Data Flows</w:t>
      </w:r>
      <w:r/>
    </w:p>
    <w:p>
      <w:pPr>
        <w:pStyle w:val="835"/>
        <w:pBdr/>
        <w:spacing/>
        <w:ind/>
        <w:rPr/>
      </w:pPr>
      <w:r>
        <w:t xml:space="preserve">2.1 Imagine the network</w:t>
      </w:r>
      <w:r/>
    </w:p>
    <w:p>
      <w:pPr>
        <w:pBdr/>
        <w:spacing/>
        <w:ind/>
        <w:rPr/>
      </w:pPr>
      <w:r>
        <w:t xml:space="preserve">Imagine a large smart-agriculture field containing about 150 wireless sensor nodes. Some sensors measure soil moisture, some temperature, some humidity, and others may monitor irrigation conditions. A sink or base station collects the data.</w:t>
      </w:r>
      <w:r/>
    </w:p>
    <w:p>
      <w:pPr>
        <w:pBdr/>
        <w:spacing/>
        <w:ind/>
        <w:rPr/>
      </w:pPr>
      <w:r>
        <w:t xml:space="preserve">A sensor that is far from the sink may not be able to send data directly. It therefore forwards the packet through relay nodes:</w:t>
        <w:br/>
        <w:br/>
        <w:t xml:space="preserve">Source sensor  →  Relay  →  Relay  →  Sink</w:t>
      </w:r>
      <w:r/>
    </w:p>
    <w:p>
      <w:pPr>
        <w:pBdr/>
        <w:spacing/>
        <w:ind/>
        <w:rPr>
          <w:highlight w:val="none"/>
        </w:rPr>
      </w:pPr>
      <w:r>
        <w:t xml:space="preserve">If only one source transmits, the routing question is relatively simple. But a real network may have several sensors transmitting at the same time. That creates several simultaneous source-to-sink flows.</w:t>
      </w:r>
      <w:r/>
    </w:p>
    <w:p w14:paraId="27222374">
      <w:pPr>
        <w:pBdr/>
        <w:spacing/>
        <w:ind/>
        <w:rPr/>
      </w:pPr>
      <w:r>
        <w:rPr>
          <w:highlight w:val="none"/>
        </w:rPr>
      </w:r>
      <w:r>
        <w:rPr>
          <w:highlight w:val="none"/>
        </w:rPr>
      </w:r>
      <w:r>
        <w:rPr>
          <w:highlight w:val="none"/>
        </w:rPr>
      </w:r>
    </w:p>
    <w:p>
      <w:pPr>
        <w:pStyle w:val="835"/>
        <w:pBdr/>
        <w:spacing/>
        <w:ind/>
        <w:rPr/>
      </w:pPr>
      <w:r>
        <w:t xml:space="preserve">2.2 Why independent shortest paths are not enough</w:t>
      </w:r>
      <w:r/>
    </w:p>
    <w:p>
      <w:pPr>
        <w:pBdr/>
        <w:spacing/>
        <w:ind/>
        <w:rPr/>
      </w:pPr>
      <w:r>
        <w:t xml:space="preserve">Suppose Flow A has three possible routes A1, A2 and A3, while Flow B has B1, B2 and B3. A1 may be the cheapest route for Flow A when conside</w:t>
      </w:r>
      <w:r>
        <w:t xml:space="preserve">red alone, and B1 may be the cheapest for Flow B when considered alone. However, A1 and B1 may pass through nearby wireless links or common relay areas. If both are selected together, they can create interference, collisions, retransmissions or congestion.</w:t>
      </w:r>
      <w:r/>
    </w:p>
    <w:p>
      <w:pPr>
        <w:pBdr/>
        <w:spacing/>
        <w:ind/>
        <w:rPr>
          <w:highlight w:val="none"/>
        </w:rPr>
      </w:pPr>
      <w:r>
        <w:rPr>
          <w:b/>
        </w:rPr>
        <w:t xml:space="preserve">Key idea: </w:t>
      </w:r>
      <w:r>
        <w:t xml:space="preserve">Individually best routes do not always form the globally best route combination. The optimizer must coordinate all flows together.</w:t>
      </w:r>
      <w:r/>
    </w:p>
    <w:p w14:paraId="33A3B54E">
      <w:pPr>
        <w:pBdr/>
        <w:spacing/>
        <w:ind/>
        <w:rPr/>
      </w:pPr>
      <w:r>
        <w:rPr>
          <w:highlight w:val="none"/>
        </w:rPr>
      </w:r>
      <w:r>
        <w:rPr>
          <w:highlight w:val="none"/>
        </w:rPr>
      </w:r>
      <w:r>
        <w:rPr>
          <w:highlight w:val="none"/>
        </w:rPr>
      </w:r>
    </w:p>
    <w:p>
      <w:pPr>
        <w:pStyle w:val="835"/>
        <w:pBdr/>
        <w:spacing/>
        <w:ind/>
        <w:rPr/>
      </w:pPr>
      <w:r>
        <w:t xml:space="preserve">2.3 The real optimization question</w:t>
      </w:r>
      <w:r/>
    </w:p>
    <w:p>
      <w:pPr>
        <w:pBdr/>
        <w:spacing/>
        <w:ind/>
        <w:rPr>
          <w:highlight w:val="none"/>
        </w:rPr>
      </w:pPr>
      <w:r>
        <w:t xml:space="preserve">The revised problem therefore asks:</w:t>
        <w:br/>
        <w:br/>
        <w:t xml:space="preserve">Choose exactly ONE candidate path for EACH flow</w:t>
        <w:br/>
        <w:t xml:space="preserve">while minimizing the TOTAL network cost</w:t>
        <w:br/>
        <w:t xml:space="preserve">including route quality + cross-flow interference + congestion.</w:t>
      </w:r>
      <w:r/>
    </w:p>
    <w:p w14:paraId="16B8B704">
      <w:pPr>
        <w:pBdr/>
        <w:spacing/>
        <w:ind/>
        <w:rPr/>
      </w:pPr>
      <w:r>
        <w:rPr>
          <w:highlight w:val="none"/>
        </w:rPr>
      </w:r>
      <w:r>
        <w:rPr>
          <w:highlight w:val="none"/>
        </w:rPr>
      </w:r>
      <w:r>
        <w:rPr>
          <w:highlight w:val="none"/>
        </w:rPr>
      </w:r>
    </w:p>
    <w:p>
      <w:pPr>
        <w:pStyle w:val="834"/>
        <w:pBdr/>
        <w:spacing/>
        <w:ind/>
        <w:rPr/>
      </w:pPr>
      <w:r>
        <w:t xml:space="preserve">3. What Changed from the Earlier AgriTrust Idea</w:t>
      </w:r>
      <w:r/>
    </w:p>
    <w:p>
      <w:pPr>
        <w:pBdr/>
        <w:spacing/>
        <w:ind/>
        <w:rPr/>
      </w:pPr>
      <w:r>
        <w:t xml:space="preserve">The most important conceptual change is that the quantum optimizer is no longer solving a small single-flo</w:t>
      </w:r>
      <w:r>
        <w:t xml:space="preserve">w layered shortest-path problem. It is solving a joint route-combination problem in which choices from different flows interact with one another. This interaction is what makes the new problem structurally more meaningful for a quantum-classical benchmark.</w:t>
      </w:r>
      <w:r/>
    </w:p>
    <w:p>
      <w:pPr>
        <w:pBdr/>
        <w:spacing/>
        <w:ind/>
        <w:rPr>
          <w:highlight w:val="none"/>
        </w:rPr>
      </w:pPr>
      <w:r>
        <w:t xml:space="preserve">Key changes:</w:t>
        <w:br/>
        <w:t xml:space="preserve">• Traffic: One source/one routing decision </w:t>
      </w:r>
      <w:r>
        <w:t xml:space="preserve">→ Several simultaneous flows</w:t>
        <w:br/>
        <w:t xml:space="preserve">• Candidate generation: Cost-aware pruning → Topology/hop/diversity only; final objective not used</w:t>
        <w:br/>
        <w:t xml:space="preserve">• Optimization question: Which route is best for one flow? → Which combination is best for all flows together?</w:t>
        <w:br/>
        <w:t xml:space="preserve">• Hardness source</w:t>
      </w:r>
      <w:r>
        <w:t xml:space="preserve">: Layered shortest-path → Cross-flow interference and congestion couple decisions</w:t>
        <w:br/>
        <w:t xml:space="preserve">• Security: Synthetic attack-driven risk → Risk weight is 0; no attack-detection claim</w:t>
        <w:br/>
        <w:t xml:space="preserve">• Claim: Could look like quantum advantage → Honest benchmark; no quantum speedup claim</w:t>
      </w:r>
      <w:r/>
    </w:p>
    <w:p w14:paraId="08DE0772">
      <w:pPr>
        <w:pBdr/>
        <w:spacing/>
        <w:ind/>
        <w:rPr/>
      </w:pPr>
      <w:r>
        <w:rPr>
          <w:highlight w:val="none"/>
        </w:rPr>
      </w:r>
      <w:r>
        <w:rPr>
          <w:highlight w:val="none"/>
        </w:rPr>
      </w:r>
      <w:r>
        <w:rPr>
          <w:highlight w:val="none"/>
        </w:rPr>
      </w:r>
    </w:p>
    <w:p>
      <w:pPr>
        <w:pStyle w:val="834"/>
        <w:pBdr/>
        <w:spacing/>
        <w:ind/>
        <w:rPr/>
      </w:pPr>
      <w:r>
        <w:t xml:space="preserve">4. Step-by-Step Methodology</w:t>
      </w:r>
      <w:r/>
    </w:p>
    <w:p>
      <w:pPr>
        <w:pBdr/>
        <w:spacing/>
        <w:ind/>
        <w:rPr>
          <w:highlight w:val="none"/>
        </w:rPr>
      </w:pPr>
      <w:r>
        <w:t xml:space="preserve">150-node smart-agriculture WSN</w:t>
        <w:br/>
        <w:t xml:space="preserve">    ↓</w:t>
        <w:br/>
        <w:t xml:space="preserve">Choose multiple source-to-sink flows</w:t>
        <w:br/>
        <w:t xml:space="preserve">    ↓</w:t>
        <w:br/>
        <w:t xml:space="preserve">Generate topology-feasible diverse candidate paths</w:t>
        <w:br/>
        <w:t xml:space="preserve">    ↓</w:t>
        <w:br/>
        <w:t xml:space="preserve">Compute route cost</w:t>
      </w:r>
      <w:r>
        <w:t xml:space="preserve">: Energy + ETX + Delay</w:t>
        <w:br/>
        <w:t xml:space="preserve">    ↓</w:t>
        <w:br/>
        <w:t xml:space="preserve">Compute cross-flow Interference + Congestion</w:t>
        <w:br/>
        <w:t xml:space="preserve">    ↓</w:t>
        <w:br/>
        <w:t xml:space="preserve">Build joint multi-flow QUBO</w:t>
        <w:br/>
        <w:t xml:space="preserve">    ↓</w:t>
        <w:br/>
        <w:t xml:space="preserve">Run Exact + Simulated Annealing + Penalty-X QAOA + XY-W QAOA</w:t>
        <w:br/>
        <w:t xml:space="preserve">    ↓</w:t>
        <w:br/>
        <w:t xml:space="preserve">Evaluate feasibility, optimal probability, mode gap, circuit cost and noise</w:t>
      </w:r>
      <w:r/>
    </w:p>
    <w:p w14:paraId="0B8DF5EA">
      <w:pPr>
        <w:pBdr/>
        <w:spacing/>
        <w:ind/>
        <w:rPr/>
      </w:pPr>
      <w:r/>
      <w:r/>
      <w:r/>
    </w:p>
    <w:p w14:paraId="76244ED0">
      <w:pPr>
        <w:pBdr/>
        <w:spacing/>
        <w:ind/>
        <w:rPr/>
      </w:pPr>
      <w:r>
        <w:rPr>
          <w:highlight w:val="none"/>
        </w:rPr>
      </w:r>
      <w:r>
        <w:rPr>
          <w:highlight w:val="none"/>
        </w:rPr>
      </w:r>
      <w:r>
        <w:rPr>
          <w:highlight w:val="none"/>
        </w:rPr>
      </w:r>
    </w:p>
    <w:p>
      <w:pPr>
        <w:pStyle w:val="835"/>
        <w:pBdr/>
        <w:spacing/>
        <w:ind/>
        <w:rPr/>
      </w:pPr>
      <w:r>
        <w:t xml:space="preserve">4.1 Step 1 - Generate the smart-agriculture WSN</w:t>
      </w:r>
      <w:r/>
    </w:p>
    <w:p>
      <w:pPr>
        <w:pBdr/>
        <w:spacing/>
        <w:ind/>
        <w:rPr>
          <w:highlight w:val="none"/>
        </w:rPr>
      </w:pPr>
      <w:r>
        <w:t xml:space="preserve">For eac</w:t>
      </w:r>
      <w:r>
        <w:t xml:space="preserve">h experimental seed, the code generates 150 sensor positions in a 100 m × 100 m field and places the sink outside the right edge of the field. Two nodes are connected when they are within the communication range. Every wireless link receives a distance-dep</w:t>
      </w:r>
      <w:r>
        <w:t xml:space="preserve">endent natural-loss value, ETX, transmission energy, reception energy and delay.</w:t>
        <w:br/>
        <w:br/>
        <w:t xml:space="preserve">• Primary communication range: 28 m.</w:t>
        <w:br/>
        <w:t xml:space="preserve">• Interference range used by the simplified protocol model: 35 m.</w:t>
        <w:br/>
        <w:t xml:space="preserve">• The topology is regenerated independently for each pre-declared seed.</w:t>
      </w:r>
      <w:r/>
    </w:p>
    <w:p w14:paraId="17FEBAD4">
      <w:pPr>
        <w:pBdr/>
        <w:spacing/>
        <w:ind/>
        <w:rPr/>
      </w:pPr>
      <w:r>
        <w:rPr>
          <w:highlight w:val="none"/>
        </w:rPr>
      </w:r>
      <w:r>
        <w:rPr>
          <w:highlight w:val="none"/>
        </w:rPr>
      </w:r>
      <w:r>
        <w:rPr>
          <w:highlight w:val="none"/>
        </w:rPr>
      </w:r>
    </w:p>
    <w:p>
      <w:pPr>
        <w:pStyle w:val="835"/>
        <w:pBdr/>
        <w:spacing/>
        <w:ind/>
        <w:rPr/>
      </w:pPr>
      <w:r>
        <w:t xml:space="preserve">4.2 Step 2 - Select multiple source flows</w:t>
      </w:r>
      <w:r/>
    </w:p>
    <w:p>
      <w:pPr>
        <w:pBdr/>
        <w:spacing/>
        <w:ind/>
        <w:rPr>
          <w:highlight w:val="none"/>
        </w:rPr>
      </w:pPr>
      <w:r>
        <w:t xml:space="preserve">The source nodes are chosen using topology and distance-to-sink information only. The code prefers nodes that require several hops to reach the sink, so the routing task is genuinely multi-hop. Source selection does not use the final routing objective.</w:t>
      </w:r>
      <w:r/>
    </w:p>
    <w:p w14:paraId="7BA462CF">
      <w:pPr>
        <w:pBdr/>
        <w:spacing/>
        <w:ind/>
        <w:rPr/>
      </w:pPr>
      <w:r>
        <w:rPr>
          <w:highlight w:val="none"/>
        </w:rPr>
      </w:r>
      <w:r>
        <w:rPr>
          <w:highlight w:val="none"/>
        </w:rPr>
      </w:r>
      <w:r>
        <w:rPr>
          <w:highlight w:val="none"/>
        </w:rPr>
      </w:r>
    </w:p>
    <w:p>
      <w:pPr>
        <w:pStyle w:val="835"/>
        <w:pBdr/>
        <w:spacing/>
        <w:ind/>
        <w:rPr/>
      </w:pPr>
      <w:r>
        <w:t xml:space="preserve">4.3 Step 3 - Generate candidate paths without pre-solving the optimization</w:t>
      </w:r>
      <w:r/>
    </w:p>
    <w:p>
      <w:pPr>
        <w:pBdr/>
        <w:spacing/>
        <w:ind/>
        <w:rPr/>
      </w:pPr>
      <w:r>
        <w:t xml:space="preserve">For every source flow, the code first creates a pool of short simple paths using hop count only. It then selects a diverse subset by reducing edge and rela</w:t>
      </w:r>
      <w:r>
        <w:t xml:space="preserve">y-node overlap. Energy, ETX, delay, risk, interference and the final QUBO cost are not used to choose the candidate set. This is important because classical preprocessing should only construct feasible options, not decide the final answer before QAOA runs.</w:t>
      </w:r>
      <w:r/>
    </w:p>
    <w:p>
      <w:pPr>
        <w:pBdr/>
        <w:spacing/>
        <w:ind/>
        <w:rPr>
          <w:highlight w:val="none"/>
        </w:rPr>
      </w:pPr>
      <w:r>
        <w:rPr>
          <w:b/>
        </w:rPr>
        <w:t xml:space="preserve">Interpretation: </w:t>
      </w:r>
      <w:r>
        <w:t xml:space="preserve">Classical preprocessing answers: "Which routes are physically available?" The optimizer answers: "Which combination of those routes should the network actually use?"</w:t>
      </w:r>
      <w:r/>
    </w:p>
    <w:p w14:paraId="399334AB">
      <w:pPr>
        <w:pBdr/>
        <w:spacing/>
        <w:ind/>
        <w:rPr/>
      </w:pPr>
      <w:r>
        <w:rPr>
          <w:highlight w:val="none"/>
        </w:rPr>
      </w:r>
      <w:r>
        <w:rPr>
          <w:highlight w:val="none"/>
        </w:rPr>
      </w:r>
      <w:r>
        <w:rPr>
          <w:highlight w:val="none"/>
        </w:rPr>
      </w:r>
    </w:p>
    <w:p>
      <w:pPr>
        <w:pStyle w:val="835"/>
        <w:pBdr/>
        <w:spacing/>
        <w:ind/>
        <w:rPr/>
      </w:pPr>
      <w:r>
        <w:t xml:space="preserve">4.4 Step 4 - Compute the individual route cost</w:t>
      </w:r>
      <w:r/>
    </w:p>
    <w:p>
      <w:pPr>
        <w:pBdr/>
        <w:spacing/>
        <w:ind/>
        <w:rPr/>
      </w:pPr>
      <w:r>
        <w:t xml:space="preserve">For each candidate route, the implementation calculates three active primary metrics: energy, ETX and delay. The current normalized route-cost weights are:</w:t>
        <w:br/>
        <w:br/>
        <w:t xml:space="preserve">RouteCost = 0.35 × E</w:t>
      </w:r>
      <w:r>
        <w:t xml:space="preserve">nergy + 0.35 × ETX + 0.30 × Delay</w:t>
        <w:br/>
        <w:br/>
        <w:t xml:space="preserve">A separate exogenous risk variable exists in the code, but its primary weight is currently zero. Therefore, the main routing experiment does not use synthetic attack labels and does not claim attack-detection superiority.</w:t>
      </w:r>
      <w:r/>
    </w:p>
    <w:p>
      <w:pPr>
        <w:pStyle w:val="835"/>
        <w:pBdr/>
        <w:spacing/>
        <w:ind/>
        <w:rPr/>
      </w:pPr>
      <w:r>
        <w:t xml:space="preserve">4.5 Step 5 - Compute cross-flow interference and congestion</w:t>
      </w:r>
      <w:r/>
    </w:p>
    <w:p>
      <w:pPr>
        <w:pBdr/>
        <w:spacing/>
        <w:ind/>
        <w:rPr>
          <w:highlight w:val="none"/>
        </w:rPr>
      </w:pPr>
      <w:r>
        <w:t xml:space="preserve">The key new ingredient is the pairwise interaction between candidate routes from different flows. The code estimates a proto</w:t>
      </w:r>
      <w:r>
        <w:t xml:space="preserve">col-style interference score. Two hops are considered conflicting when they share nodes or when a transmitter is close to the other flow's receiver within the chosen interference radius. A separate congestion score measures shared internal relay nodes and </w:t>
      </w:r>
      <w:r>
        <w:t xml:space="preserve">shared edges.</w:t>
        <w:br/>
        <w:br/>
        <w:t xml:space="preserve">PairCost = λ_I × Interference + λ_C × Congestion</w:t>
        <w:br/>
        <w:t xml:space="preserve">Current settings: λ_I = 1.0, λ_C = 0.60</w:t>
        <w:br/>
        <w:br/>
        <w:t xml:space="preserve">These pairwise terms couple the flow decisions: the cost of choosing route A2 for Flow A depends on which route is chosen for Flow B, Flow C and so on.</w:t>
      </w:r>
      <w:r/>
    </w:p>
    <w:p w14:paraId="2F637CDA">
      <w:pPr>
        <w:pBdr/>
        <w:spacing/>
        <w:ind/>
        <w:rPr/>
      </w:pPr>
      <w:r>
        <w:rPr>
          <w:highlight w:val="none"/>
        </w:rPr>
      </w:r>
      <w:r>
        <w:rPr>
          <w:highlight w:val="none"/>
        </w:rPr>
      </w:r>
      <w:r>
        <w:rPr>
          <w:highlight w:val="none"/>
        </w:rPr>
      </w:r>
    </w:p>
    <w:p>
      <w:pPr>
        <w:pStyle w:val="835"/>
        <w:pBdr/>
        <w:spacing/>
        <w:ind/>
        <w:rPr/>
      </w:pPr>
      <w:r>
        <w:t xml:space="preserve">4.6 Step 6 - Build the joint QUBO</w:t>
      </w:r>
      <w:r/>
    </w:p>
    <w:p>
      <w:pPr>
        <w:pBdr/>
        <w:spacing/>
        <w:ind/>
        <w:rPr>
          <w:highlight w:val="none"/>
        </w:rPr>
      </w:pPr>
      <w:r>
        <w:t xml:space="preserve">Each binary variable x(f,r) means: "Flow f selects route r." The feasible routing condition is exactly one route per flow.</w:t>
        <w:br/>
        <w:br/>
        <w:t xml:space="preserve">x(f,r) ∈ {0,1}</w:t>
        <w:br/>
        <w:t xml:space="preserve">For every flow f:  Σ_r x(f,r) = 1</w:t>
        <w:br/>
        <w:br/>
        <w:t xml:space="preserve">The objective contains linear route costs and quadratic cro</w:t>
      </w:r>
      <w:r>
        <w:t xml:space="preserve">ss-flow interaction costs:</w:t>
        <w:br/>
        <w:br/>
        <w:t xml:space="preserve">H = Σ route_cost(f,r) × x(f,r)</w:t>
        <w:br/>
        <w:t xml:space="preserve">  + Σ pair_cost(f,r,g,s) × x(f,r) × x(g,s)</w:t>
        <w:br/>
        <w:br/>
        <w:t xml:space="preserve">Because route-level variables represent whole candidate paths, cross-flow interaction remains quadratic and fits naturally into a QUBO/Ising formulation.</w:t>
      </w:r>
      <w:r/>
    </w:p>
    <w:p w14:paraId="1645B501">
      <w:pPr>
        <w:pBdr/>
        <w:spacing/>
        <w:ind/>
        <w:rPr/>
      </w:pPr>
      <w:r>
        <w:rPr>
          <w:highlight w:val="none"/>
        </w:rPr>
      </w:r>
      <w:r>
        <w:rPr>
          <w:highlight w:val="none"/>
        </w:rPr>
      </w:r>
      <w:r>
        <w:rPr>
          <w:highlight w:val="none"/>
        </w:rPr>
      </w:r>
    </w:p>
    <w:p>
      <w:pPr>
        <w:pStyle w:val="834"/>
        <w:pBdr/>
        <w:spacing/>
        <w:ind/>
        <w:rPr/>
      </w:pPr>
      <w:r>
        <w:t xml:space="preserve">5. The Quantum Part in Simple Language</w:t>
      </w:r>
      <w:r/>
    </w:p>
    <w:p w14:paraId="2CD9C52B">
      <w:pPr>
        <w:pBdr/>
        <w:spacing/>
        <w:ind/>
        <w:rPr/>
      </w:pPr>
      <w:r/>
      <w:r/>
      <w:r/>
    </w:p>
    <w:p>
      <w:pPr>
        <w:pStyle w:val="835"/>
        <w:pBdr/>
        <w:spacing/>
        <w:ind/>
        <w:rPr/>
      </w:pPr>
      <w:r>
        <w:t xml:space="preserve">5.1 One-hot encoding</w:t>
      </w:r>
      <w:r/>
    </w:p>
    <w:p>
      <w:pPr>
        <w:pBdr/>
        <w:spacing/>
        <w:ind/>
        <w:rPr>
          <w:highlight w:val="none"/>
        </w:rPr>
      </w:pPr>
      <w:r>
        <w:t xml:space="preserve">If one flow has three candidate routes, its quantum decisi</w:t>
      </w:r>
      <w:r>
        <w:t xml:space="preserve">on block contains three qubits. A valid choice contains exactly one 1:</w:t>
        <w:br/>
        <w:br/>
        <w:t xml:space="preserve">100  = choose route 1</w:t>
        <w:br/>
        <w:t xml:space="preserve">010  = choose route 2</w:t>
        <w:br/>
        <w:t xml:space="preserve">001  = choose route 3</w:t>
        <w:br/>
        <w:br/>
        <w:t xml:space="preserve">With 3 flows and 3 routes per flow, the problem uses 9 qubits. With 5 flows and 4 routes per flow, it uses 20 qubits.</w:t>
      </w:r>
      <w:r/>
    </w:p>
    <w:p w14:paraId="0FFDA06A">
      <w:pPr>
        <w:pBdr/>
        <w:spacing/>
        <w:ind/>
        <w:rPr/>
      </w:pPr>
      <w:r>
        <w:rPr>
          <w:highlight w:val="none"/>
        </w:rPr>
      </w:r>
      <w:r>
        <w:rPr>
          <w:highlight w:val="none"/>
        </w:rPr>
      </w:r>
      <w:r>
        <w:rPr>
          <w:highlight w:val="none"/>
        </w:rPr>
      </w:r>
    </w:p>
    <w:p>
      <w:pPr>
        <w:pStyle w:val="835"/>
        <w:pBdr/>
        <w:spacing/>
        <w:ind/>
        <w:rPr/>
      </w:pPr>
      <w:r>
        <w:t xml:space="preserve">5.2 W/Dicke-1 initialization</w:t>
      </w:r>
      <w:r/>
    </w:p>
    <w:p>
      <w:pPr>
        <w:pBdr/>
        <w:spacing/>
        <w:ind/>
        <w:rPr>
          <w:highlight w:val="none"/>
        </w:rPr>
      </w:pPr>
      <w:r>
        <w:t xml:space="preserve">Instead of starting from a</w:t>
      </w:r>
      <w:r>
        <w:t xml:space="preserve">ll possible bitstrings, the proposed method starts every flow block inside the exactly-one-route space. For three routes the W state is:</w:t>
        <w:br/>
        <w:br/>
        <w:t xml:space="preserve">|W3⟩ = (|100⟩ + |010⟩ + |001⟩) / √3</w:t>
        <w:br/>
        <w:br/>
        <w:t xml:space="preserve">So, from the beginning, each flow is represented only by valid one-route choices.</w:t>
      </w:r>
      <w:r/>
    </w:p>
    <w:p w14:paraId="673B2988">
      <w:pPr>
        <w:pBdr/>
        <w:spacing/>
        <w:ind/>
        <w:rPr/>
      </w:pPr>
      <w:r>
        <w:rPr>
          <w:highlight w:val="none"/>
        </w:rPr>
      </w:r>
      <w:r>
        <w:rPr>
          <w:highlight w:val="none"/>
        </w:rPr>
      </w:r>
      <w:r>
        <w:rPr>
          <w:highlight w:val="none"/>
        </w:rPr>
      </w:r>
    </w:p>
    <w:p>
      <w:pPr>
        <w:pStyle w:val="835"/>
        <w:pBdr/>
        <w:spacing/>
        <w:ind/>
        <w:rPr/>
      </w:pPr>
      <w:r>
        <w:t xml:space="preserve">5.3 XY mixer</w:t>
      </w:r>
      <w:r/>
    </w:p>
    <w:p>
      <w:pPr>
        <w:pBdr/>
        <w:spacing/>
        <w:ind/>
        <w:rPr>
          <w:highlight w:val="none"/>
        </w:rPr>
      </w:pPr>
      <w:r>
        <w:t xml:space="preserve">The XY mixer lets probability move between the valid route choices of the same flow without changing the number of active routes. In simple terms:</w:t>
        <w:br/>
        <w:br/>
        <w:t xml:space="preserve">100  →  010  →  001    (allowed)</w:t>
        <w:br/>
        <w:t xml:space="preserve">100  →  000           </w:t>
      </w:r>
      <w:r>
        <w:t xml:space="preserve">   (not allowed)</w:t>
        <w:br/>
        <w:t xml:space="preserve">100  →  110              (not allowed)</w:t>
        <w:br/>
        <w:br/>
        <w:t xml:space="preserve">The implementation uses sequential RXX and RYY operations inside each flow block. Each pair operation preserves Hamming weight, so the one-route-per-flow condition is preserved under ideal evolution.</w:t>
      </w:r>
      <w:r/>
    </w:p>
    <w:p w14:paraId="0F1F6ECF">
      <w:pPr>
        <w:pBdr/>
        <w:spacing/>
        <w:ind/>
        <w:rPr/>
      </w:pPr>
      <w:r>
        <w:rPr>
          <w:highlight w:val="none"/>
        </w:rPr>
      </w:r>
      <w:r>
        <w:rPr>
          <w:highlight w:val="none"/>
        </w:rPr>
      </w:r>
      <w:r>
        <w:rPr>
          <w:highlight w:val="none"/>
        </w:rPr>
      </w:r>
    </w:p>
    <w:p w14:paraId="579A132B">
      <w:pPr>
        <w:pStyle w:val="835"/>
        <w:pBdr/>
        <w:spacing/>
        <w:ind/>
        <w:rPr/>
      </w:pPr>
      <w:r>
        <w:rPr>
          <w:highlight w:val="none"/>
        </w:rPr>
      </w:r>
      <w:r>
        <w:rPr>
          <w:highlight w:val="none"/>
        </w:rPr>
      </w:r>
      <w:r>
        <w:rPr>
          <w:highlight w:val="none"/>
        </w:rPr>
      </w:r>
    </w:p>
    <w:p w14:paraId="1031B949">
      <w:pPr>
        <w:pStyle w:val="835"/>
        <w:pBdr/>
        <w:spacing/>
        <w:ind/>
        <w:rPr>
          <w:highlight w:val="none"/>
        </w:rPr>
      </w:pPr>
      <w:r>
        <w:rPr>
          <w:highlight w:val="none"/>
        </w:rPr>
      </w:r>
      <w:r>
        <w:rPr>
          <w:highlight w:val="none"/>
        </w:rPr>
      </w:r>
      <w:r>
        <w:rPr>
          <w:highlight w:val="none"/>
        </w:rPr>
      </w:r>
    </w:p>
    <w:p w14:paraId="5069682F">
      <w:pPr>
        <w:pStyle w:val="835"/>
        <w:pBdr/>
        <w:spacing/>
        <w:ind/>
        <w:rPr>
          <w:highlight w:val="none"/>
        </w:rPr>
      </w:pPr>
      <w:r>
        <w:rPr>
          <w:highlight w:val="none"/>
        </w:rPr>
      </w:r>
      <w:r>
        <w:rPr>
          <w:highlight w:val="none"/>
        </w:rPr>
      </w:r>
      <w:r>
        <w:rPr>
          <w:highlight w:val="none"/>
        </w:rPr>
      </w:r>
    </w:p>
    <w:p w14:paraId="7EC93A7D">
      <w:pPr>
        <w:pStyle w:val="835"/>
        <w:pBdr/>
        <w:spacing/>
        <w:ind/>
        <w:rPr>
          <w:highlight w:val="none"/>
        </w:rPr>
      </w:pPr>
      <w:r>
        <w:rPr>
          <w:highlight w:val="none"/>
        </w:rPr>
      </w:r>
      <w:r>
        <w:rPr>
          <w:highlight w:val="none"/>
        </w:rPr>
      </w:r>
      <w:r>
        <w:rPr>
          <w:highlight w:val="none"/>
        </w:rPr>
      </w:r>
    </w:p>
    <w:p w14:paraId="7EBE47A0">
      <w:pPr>
        <w:pStyle w:val="835"/>
        <w:pBdr/>
        <w:spacing/>
        <w:ind/>
        <w:rPr>
          <w:highlight w:val="none"/>
        </w:rPr>
      </w:pPr>
      <w:r>
        <w:rPr>
          <w:highlight w:val="none"/>
        </w:rPr>
      </w:r>
      <w:r>
        <w:rPr>
          <w:highlight w:val="none"/>
        </w:rPr>
      </w:r>
      <w:r>
        <w:rPr>
          <w:highlight w:val="none"/>
        </w:rPr>
      </w:r>
    </w:p>
    <w:p>
      <w:pPr>
        <w:pStyle w:val="835"/>
        <w:pBdr/>
        <w:spacing/>
        <w:ind/>
        <w:rPr>
          <w:highlight w:val="none"/>
        </w:rPr>
      </w:pPr>
      <w:r>
        <w:t xml:space="preserve">5.4 Cost Hamiltonian and QAOA layers</w:t>
      </w:r>
      <w:r/>
    </w:p>
    <w:p w14:paraId="4E710B4E">
      <w:pPr>
        <w:pBdr/>
        <w:spacing/>
        <w:ind/>
        <w:rPr/>
      </w:pPr>
      <w:r/>
      <w:r/>
      <w:r/>
    </w:p>
    <w:p w14:paraId="5070C7F0">
      <w:pPr>
        <w:pBdr/>
        <w:spacing/>
        <w:ind/>
        <w:rPr/>
      </w:pPr>
      <w:r/>
      <w:r/>
      <w:r/>
    </w:p>
    <w:p w14:paraId="210E387E">
      <w:pPr>
        <w:pBdr/>
        <w:spacing/>
        <w:ind/>
        <w:rPr/>
      </w:pPr>
      <w:r/>
      <w:r/>
      <w:r/>
    </w:p>
    <w:p w14:paraId="63576824">
      <w:pPr>
        <w:pBdr/>
        <w:spacing/>
        <w:ind/>
        <w:rPr/>
      </w:pPr>
      <w:r/>
      <w:r/>
      <w:r/>
    </w:p>
    <w:p w14:paraId="6607451C">
      <w:pPr>
        <w:pBdr/>
        <w:spacing/>
        <w:ind/>
        <w:rPr/>
      </w:pPr>
      <w:r/>
      <w:r/>
      <w:r/>
    </w:p>
    <w:p>
      <w:pPr>
        <w:pBdr/>
        <w:spacing/>
        <w:ind/>
        <w:rPr>
          <w:highlight w:val="none"/>
        </w:rPr>
      </w:pPr>
      <w:r>
        <w:t xml:space="preserve">The QUBO is converted to an Ising Hamiltonian. Individual route terms appear as RZ rotations, while pairwise interactions appear as RZZ operations.</w:t>
      </w:r>
      <w:r>
        <w:t xml:space="preserve"> A shallow QAOA circuit alternates the cost layer and the XY mixer:</w:t>
        <w:br/>
        <w:br/>
        <w:t xml:space="preserve">W-state initialization</w:t>
        <w:br/>
        <w:t xml:space="preserve">        ↓</w:t>
        <w:br/>
        <w:t xml:space="preserve">Cost layer (gamma)</w:t>
        <w:br/>
        <w:t xml:space="preserve">        ↓</w:t>
        <w:br/>
        <w:t xml:space="preserve">XY mixer (beta)</w:t>
        <w:br/>
        <w:t xml:space="preserve">        ↓</w:t>
        <w:br/>
        <w:t xml:space="preserve">repeat for p layers</w:t>
        <w:br/>
        <w:br/>
        <w:t xml:space="preserve">The primary depth is p=2, and a controlled ablation also studies p=1, 2 and 3.</w:t>
      </w:r>
      <w:r/>
    </w:p>
    <w:p w14:paraId="7835CAF0">
      <w:pPr>
        <w:pBdr/>
        <w:spacing/>
        <w:ind/>
        <w:rPr/>
      </w:pPr>
      <w:r>
        <w:rPr>
          <w:highlight w:val="none"/>
        </w:rPr>
      </w:r>
      <w:r>
        <w:rPr>
          <w:highlight w:val="none"/>
        </w:rPr>
      </w:r>
      <w:r>
        <w:rPr>
          <w:highlight w:val="none"/>
        </w:rPr>
      </w:r>
    </w:p>
    <w:p>
      <w:pPr>
        <w:pStyle w:val="835"/>
        <w:pBdr/>
        <w:spacing/>
        <w:ind/>
        <w:rPr/>
      </w:pPr>
      <w:r>
        <w:t xml:space="preserve">5.5 CVaR is an optimization objective, not a quantum gate</w:t>
      </w:r>
      <w:r/>
    </w:p>
    <w:p>
      <w:pPr>
        <w:pBdr/>
        <w:spacing/>
        <w:ind/>
        <w:rPr/>
      </w:pPr>
      <w:r>
        <w:t xml:space="preserve">After the circuit produces a probability distribution over candidat</w:t>
      </w:r>
      <w:r>
        <w:t xml:space="preserve">e solutions, a classical optimizer adjusts the QAOA parameters. CVaR focuses the objective on a low-cost fraction of the distribution. When α=1, the objective becomes the ordinary expectation value. The current ablation plans α = 0.10, 0.25, 0.50 and 1.00.</w:t>
      </w:r>
      <w:r/>
    </w:p>
    <w:p>
      <w:pPr>
        <w:pBdr/>
        <w:spacing/>
        <w:ind/>
        <w:rPr>
          <w:highlight w:val="none"/>
        </w:rPr>
      </w:pPr>
      <w:r>
        <w:rPr>
          <w:b/>
        </w:rPr>
        <w:t xml:space="preserve">Important wording: </w:t>
      </w:r>
      <w:r>
        <w:t xml:space="preserve">The circuit should be called a constraint-preserving XY-W QAOA circuit. CVaR describes how the circuit parameters are optimized; it is not a gate inside the circuit.</w:t>
      </w:r>
      <w:r/>
    </w:p>
    <w:p w14:paraId="1C094035">
      <w:pPr>
        <w:pBdr/>
        <w:spacing/>
        <w:ind/>
        <w:rPr/>
      </w:pPr>
      <w:r>
        <w:rPr>
          <w:highlight w:val="none"/>
        </w:rPr>
      </w:r>
      <w:r>
        <w:rPr>
          <w:highlight w:val="none"/>
        </w:rPr>
      </w:r>
      <w:r>
        <w:rPr>
          <w:highlight w:val="none"/>
        </w:rPr>
      </w:r>
    </w:p>
    <w:p>
      <w:pPr>
        <w:pStyle w:val="834"/>
        <w:pBdr/>
        <w:spacing/>
        <w:ind/>
        <w:rPr/>
      </w:pPr>
      <w:r>
        <w:t xml:space="preserve">6. Classical Baselines and Fair Evaluation</w:t>
      </w:r>
      <w:r/>
    </w:p>
    <w:p w14:paraId="0D3696D2">
      <w:pPr>
        <w:pBdr/>
        <w:spacing/>
        <w:ind/>
        <w:rPr/>
      </w:pPr>
      <w:r/>
      <w:r/>
      <w:r/>
    </w:p>
    <w:p>
      <w:pPr>
        <w:pStyle w:val="835"/>
        <w:pBdr/>
        <w:spacing/>
        <w:ind/>
        <w:rPr/>
      </w:pPr>
      <w:r>
        <w:t xml:space="preserve">6.1 Exact ground truth</w:t>
      </w:r>
      <w:r/>
    </w:p>
    <w:p w14:paraId="3FE7ED89">
      <w:pPr>
        <w:pBdr/>
        <w:spacing/>
        <w:ind/>
        <w:rPr/>
      </w:pPr>
      <w:r/>
      <w:r/>
      <w:r/>
    </w:p>
    <w:p>
      <w:pPr>
        <w:pBdr/>
        <w:spacing/>
        <w:ind/>
        <w:rPr>
          <w:highlight w:val="none"/>
        </w:rPr>
      </w:pPr>
      <w:r>
        <w:t xml:space="preserve">For the encoded problem sizes used in the study, the code can enumerate all feasible route combinations. This gives the true optimum and provides an honest reference for evaluating QAOA solution quality.</w:t>
      </w:r>
      <w:r/>
    </w:p>
    <w:p w14:paraId="2FF07A7D">
      <w:pPr>
        <w:pBdr/>
        <w:spacing/>
        <w:ind/>
        <w:rPr/>
      </w:pPr>
      <w:r>
        <w:rPr>
          <w:highlight w:val="none"/>
        </w:rPr>
      </w:r>
      <w:r>
        <w:rPr>
          <w:highlight w:val="none"/>
        </w:rPr>
      </w:r>
      <w:r>
        <w:rPr>
          <w:highlight w:val="none"/>
        </w:rPr>
      </w:r>
    </w:p>
    <w:p>
      <w:pPr>
        <w:pStyle w:val="835"/>
        <w:pBdr/>
        <w:spacing/>
        <w:ind/>
        <w:rPr/>
      </w:pPr>
      <w:r>
        <w:t xml:space="preserve">6.2 Simulated annealing</w:t>
      </w:r>
      <w:r/>
    </w:p>
    <w:p w14:paraId="309574B9">
      <w:pPr>
        <w:pBdr/>
        <w:spacing/>
        <w:ind/>
        <w:rPr/>
      </w:pPr>
      <w:r/>
      <w:r/>
      <w:r/>
    </w:p>
    <w:p>
      <w:pPr>
        <w:pBdr/>
        <w:spacing/>
        <w:ind/>
        <w:rPr>
          <w:highlight w:val="none"/>
        </w:rPr>
      </w:pPr>
      <w:r>
        <w:t xml:space="preserve">Simulated annealing is included as a stronger classical heuristic baseline. It directly explores feasible route choices and provides a useful comparison between quantum heuristics and a standard classical search method.</w:t>
      </w:r>
      <w:r/>
    </w:p>
    <w:p w14:paraId="07C5894A">
      <w:pPr>
        <w:pBdr/>
        <w:spacing/>
        <w:ind/>
        <w:rPr/>
      </w:pPr>
      <w:r>
        <w:rPr>
          <w:highlight w:val="none"/>
        </w:rPr>
      </w:r>
      <w:r>
        <w:rPr>
          <w:highlight w:val="none"/>
        </w:rPr>
      </w:r>
      <w:r>
        <w:rPr>
          <w:highlight w:val="none"/>
        </w:rPr>
      </w:r>
    </w:p>
    <w:p>
      <w:pPr>
        <w:pStyle w:val="835"/>
        <w:pBdr/>
        <w:spacing/>
        <w:ind/>
        <w:rPr/>
      </w:pPr>
      <w:r>
        <w:t xml:space="preserve">6.3 Penalty-X QAOA</w:t>
      </w:r>
      <w:r/>
    </w:p>
    <w:p w14:paraId="4B942390">
      <w:pPr>
        <w:pBdr/>
        <w:spacing/>
        <w:ind/>
        <w:rPr/>
      </w:pPr>
      <w:r/>
      <w:r/>
      <w:r/>
    </w:p>
    <w:p>
      <w:pPr>
        <w:pBdr/>
        <w:spacing/>
        <w:ind/>
        <w:rPr>
          <w:highlight w:val="none"/>
        </w:rPr>
      </w:pPr>
      <w:r>
        <w:t xml:space="preserve">The conventional quantum baseline starts from the full |+⟩ state and uses an X mixer. Because invalid route-selection bitstrings are possible, the exactly-one constraint is added as a quadratic penalty:</w:t>
        <w:br/>
        <w:br/>
        <w:t xml:space="preserve">Penalty =</w:t>
      </w:r>
      <w:r>
        <w:t xml:space="preserve"> A × (Σ_r x(f,r) − 1)²</w:t>
        <w:br/>
        <w:br/>
        <w:t xml:space="preserve">The central quantum comparison is therefore between two philosophies:</w:t>
        <w:br/>
        <w:t xml:space="preserve">• Penalty-X QAOA: search a larger space and punish invalid solutions.</w:t>
        <w:br/>
        <w:t xml:space="preserve">• W-state + XY-QAOA: build the search so it stays inside the valid one-route-per-flow space.</w:t>
      </w:r>
      <w:r/>
    </w:p>
    <w:p w14:paraId="5C4ADEA6">
      <w:pPr>
        <w:pBdr/>
        <w:spacing/>
        <w:ind/>
        <w:rPr/>
      </w:pPr>
      <w:r>
        <w:rPr>
          <w:highlight w:val="none"/>
        </w:rPr>
      </w:r>
      <w:r>
        <w:rPr>
          <w:highlight w:val="none"/>
        </w:rPr>
      </w:r>
      <w:r>
        <w:rPr>
          <w:highlight w:val="none"/>
        </w:rPr>
      </w:r>
    </w:p>
    <w:p>
      <w:pPr>
        <w:pStyle w:val="834"/>
        <w:pBdr/>
        <w:spacing/>
        <w:ind/>
        <w:rPr/>
      </w:pPr>
      <w:r>
        <w:t xml:space="preserve">7. Experimental Design</w:t>
      </w:r>
      <w:r/>
    </w:p>
    <w:p w14:paraId="39472DB5">
      <w:pPr>
        <w:pBdr/>
        <w:spacing/>
        <w:ind/>
        <w:rPr/>
      </w:pPr>
      <w:r/>
      <w:r/>
      <w:r/>
    </w:p>
    <w:p>
      <w:pPr>
        <w:pStyle w:val="835"/>
        <w:pBdr/>
        <w:spacing/>
        <w:ind/>
        <w:rPr/>
      </w:pPr>
      <w:r>
        <w:t xml:space="preserve">7.1 Twenty fixed seeds</w:t>
      </w:r>
      <w:r/>
    </w:p>
    <w:p>
      <w:pPr>
        <w:pBdr/>
        <w:spacing/>
        <w:ind/>
        <w:rPr>
          <w:highlight w:val="none"/>
        </w:rPr>
      </w:pPr>
      <w:r>
        <w:t xml:space="preserve">The study uses the following 20 pre-declared seeds, all between 10 and 500:</w:t>
        <w:br/>
        <w:br/>
        <w:t xml:space="preserve">11, 23, 37, 53, 71, 89, 107, 131, 157</w:t>
      </w:r>
      <w:r>
        <w:t xml:space="preserve">, 179,</w:t>
        <w:br/>
        <w:t xml:space="preserve">211, 233, 269, 293, 317, 347, 379, 419, 457, 491</w:t>
        <w:br/>
        <w:br/>
        <w:t xml:space="preserve">The seed values themselves do not provide statistical advantage. Their purpose is reproducibility and pre-declaration. Every competing method must receive the same problem instance for the same seed.</w:t>
      </w:r>
      <w:r/>
    </w:p>
    <w:p w14:paraId="38A76DBB">
      <w:pPr>
        <w:pBdr/>
        <w:spacing/>
        <w:ind/>
        <w:rPr/>
      </w:pPr>
      <w:r>
        <w:rPr>
          <w:highlight w:val="none"/>
        </w:rPr>
      </w:r>
      <w:r>
        <w:rPr>
          <w:highlight w:val="none"/>
        </w:rPr>
      </w:r>
      <w:r>
        <w:rPr>
          <w:highlight w:val="none"/>
        </w:rPr>
      </w:r>
    </w:p>
    <w:p>
      <w:pPr>
        <w:pStyle w:val="835"/>
        <w:pBdr/>
        <w:spacing/>
        <w:ind/>
        <w:rPr/>
      </w:pPr>
      <w:r>
        <w:t xml:space="preserve">7.2 Scaling configurations</w:t>
      </w:r>
      <w:r/>
    </w:p>
    <w:p>
      <w:pPr>
        <w:pBdr/>
        <w:spacing/>
        <w:ind/>
        <w:rPr>
          <w:highlight w:val="none"/>
        </w:rPr>
      </w:pPr>
      <w:r>
        <w:t xml:space="preserve">Flows | Paths per flow | Qubits | Feasible route combinations</w:t>
        <w:br/>
        <w:t xml:space="preserve">  3   |       3        |    9   |    27</w:t>
        <w:br/>
        <w:t xml:space="preserve">  4   |       3        |   12   |    81</w:t>
        <w:br/>
        <w:t xml:space="preserve">  4   |       4        |   16   |   256</w:t>
        <w:br/>
        <w:t xml:space="preserve">  5   |     </w:t>
      </w:r>
      <w:r>
        <w:t xml:space="preserve">  4        |   20   |  1024</w:t>
        <w:br/>
        <w:t xml:space="preserve">  5   |       5        |   25   |  3125</w:t>
        <w:br/>
        <w:br/>
        <w:t xml:space="preserve">The 25-qubit case is useful for classical integrity checks, but full ideal-statevector QAOA above 20 qubits is intentionally restricted in the notebook because of memory and runtime cost.</w:t>
      </w:r>
      <w:r/>
    </w:p>
    <w:p w14:paraId="1ED8923E">
      <w:pPr>
        <w:pBdr/>
        <w:spacing/>
        <w:ind/>
        <w:rPr/>
      </w:pPr>
      <w:r>
        <w:rPr>
          <w:highlight w:val="none"/>
        </w:rPr>
      </w:r>
      <w:r>
        <w:rPr>
          <w:highlight w:val="none"/>
        </w:rPr>
      </w:r>
      <w:r>
        <w:rPr>
          <w:highlight w:val="none"/>
        </w:rPr>
      </w:r>
    </w:p>
    <w:p>
      <w:pPr>
        <w:pStyle w:val="835"/>
        <w:pBdr/>
        <w:spacing/>
        <w:ind/>
        <w:rPr/>
      </w:pPr>
      <w:r>
        <w:t xml:space="preserve">7.3 Primary evaluation metrics</w:t>
      </w:r>
      <w:r/>
    </w:p>
    <w:p>
      <w:pPr>
        <w:pBdr/>
        <w:spacing/>
        <w:ind/>
        <w:rPr>
          <w:highlight w:val="none"/>
        </w:rPr>
      </w:pPr>
      <w:r>
        <w:t xml:space="preserve">• Feasible probability: how much prob</w:t>
      </w:r>
      <w:r>
        <w:t xml:space="preserve">ability mass lies on valid one-route-per-flow states.</w:t>
        <w:br/>
        <w:t xml:space="preserve">• Optimal probability: probability assigned to the exact optimal route combination.</w:t>
        <w:br/>
        <w:t xml:space="preserve">• Most-probable feasible-state gap: how far the dominant feasible state is from exact optimum.</w:t>
        <w:br/>
        <w:t xml:space="preserve">• Finite-shot feasibili</w:t>
      </w:r>
      <w:r>
        <w:t xml:space="preserve">ty and optimal-hit rates.</w:t>
        <w:br/>
        <w:t xml:space="preserve">• Heavy-hex transpiled depth, CX count and one-qubit gate count.</w:t>
        <w:br/>
        <w:t xml:space="preserve">• Noise sensitivity on the 9-qubit validation problem.</w:t>
        <w:br/>
        <w:t xml:space="preserve">• Mean, standard deviation, bootstrap 95% confidence intervals and paired Wilcoxon tests with Holm correction.</w:t>
      </w:r>
      <w:r/>
    </w:p>
    <w:p w14:paraId="00E6AF4D">
      <w:pPr>
        <w:pBdr/>
        <w:spacing/>
        <w:ind/>
        <w:rPr/>
      </w:pPr>
      <w:r>
        <w:rPr>
          <w:highlight w:val="none"/>
        </w:rPr>
      </w:r>
      <w:r>
        <w:rPr>
          <w:highlight w:val="none"/>
        </w:rPr>
      </w:r>
      <w:r>
        <w:rPr>
          <w:highlight w:val="none"/>
        </w:rPr>
      </w:r>
    </w:p>
    <w:p>
      <w:pPr>
        <w:pStyle w:val="835"/>
        <w:pBdr/>
        <w:spacing/>
        <w:ind/>
        <w:rPr/>
      </w:pPr>
      <w:r>
        <w:t xml:space="preserve">7.4 Why the "most-probable feasible state" is the primary solution metric</w:t>
      </w:r>
      <w:r/>
    </w:p>
    <w:p>
      <w:pPr>
        <w:pBdr/>
        <w:spacing/>
        <w:ind/>
        <w:rPr>
          <w:highlight w:val="none"/>
        </w:rPr>
      </w:pPr>
      <w:r>
        <w:t xml:space="preserve">An earlier version used the best solution found among 2048 shots as the main gap. That can be too optimistic because the chance of seeing a rare optimum a</w:t>
      </w:r>
      <w:r>
        <w:t xml:space="preserve">utomatically increases when more shots are taken. The revised methodology instead uses the highest-probability feasible state in the ideal distribution as the primary representative solution. The best-of-shots result is kept only as a secondary diagnostic.</w:t>
      </w:r>
      <w:r/>
    </w:p>
    <w:p w14:paraId="5BEEA58B">
      <w:pPr>
        <w:pBdr/>
        <w:spacing/>
        <w:ind/>
        <w:rPr/>
      </w:pPr>
      <w:r>
        <w:rPr>
          <w:highlight w:val="none"/>
        </w:rPr>
      </w:r>
      <w:r>
        <w:rPr>
          <w:highlight w:val="none"/>
        </w:rPr>
      </w:r>
      <w:r>
        <w:rPr>
          <w:highlight w:val="none"/>
        </w:rPr>
      </w:r>
    </w:p>
    <w:p>
      <w:pPr>
        <w:pStyle w:val="834"/>
        <w:pBdr/>
        <w:spacing/>
        <w:ind/>
        <w:rPr/>
      </w:pPr>
      <w:r>
        <w:t xml:space="preserve">8. What the Study Can and Cannot Claim</w:t>
      </w:r>
      <w:r/>
    </w:p>
    <w:p>
      <w:pPr>
        <w:pBdr/>
        <w:spacing/>
        <w:ind/>
        <w:rPr/>
      </w:pPr>
      <w:r>
        <w:rPr>
          <w:b/>
        </w:rPr>
        <w:t xml:space="preserve">Safe main claim: </w:t>
      </w:r>
      <w:r>
        <w:t xml:space="preserve">The study evaluates whether constraint-preserving QAOA allocates probability more effectively to valid, high-quality route combinations than penalty-based QAOA as the multi-flow routing problem grows.</w:t>
      </w:r>
      <w:r/>
    </w:p>
    <w:p>
      <w:pPr>
        <w:pBdr/>
        <w:spacing/>
        <w:ind/>
        <w:rPr>
          <w:highlight w:val="none"/>
        </w:rPr>
      </w:pPr>
      <w:r>
        <w:t xml:space="preserve">• Can claim: feasibility preservation under ideal XY evolution, if confirmed by results.</w:t>
        <w:br/>
        <w:t xml:space="preserve">• Can claim: comparative solution-quality and circuit-resource trade-offs.</w:t>
        <w:br/>
        <w:t xml:space="preserve">• Can claim: performance trends acros</w:t>
      </w:r>
      <w:r>
        <w:t xml:space="preserve">s pre-declared network instances and problem sizes.</w:t>
        <w:br/>
        <w:t xml:space="preserve">• Cannot claim: quantum speedup or quantum advantage over exact/classical algorithms without much stronger evidence.</w:t>
        <w:br/>
        <w:t xml:space="preserve">• Cannot claim: real quantum-hardware execution if only simulator and transpilation est</w:t>
      </w:r>
      <w:r>
        <w:t xml:space="preserve">imates are used.</w:t>
        <w:br/>
        <w:t xml:space="preserve">• Cannot claim: attack-detection superiority because security risk is not the primary experimentally validated contribution.</w:t>
        <w:br/>
        <w:t xml:space="preserve">• Should not assume: CVaR is better than expectation until the controlled alpha ablation supports that conclusion.</w:t>
      </w:r>
      <w:r/>
    </w:p>
    <w:p w14:paraId="3920F2C4">
      <w:pPr>
        <w:pBdr/>
        <w:spacing/>
        <w:ind/>
        <w:rPr/>
      </w:pPr>
      <w:r>
        <w:rPr>
          <w:highlight w:val="none"/>
        </w:rPr>
      </w:r>
      <w:r>
        <w:rPr>
          <w:highlight w:val="none"/>
        </w:rPr>
      </w:r>
      <w:r>
        <w:rPr>
          <w:highlight w:val="none"/>
        </w:rPr>
      </w:r>
    </w:p>
    <w:p>
      <w:pPr>
        <w:pStyle w:val="834"/>
        <w:pBdr/>
        <w:spacing/>
        <w:ind/>
        <w:rPr/>
      </w:pPr>
      <w:r>
        <w:t xml:space="preserve">9. Methodological Considerations and Remaining Issues</w:t>
      </w:r>
      <w:r/>
    </w:p>
    <w:p>
      <w:pPr>
        <w:pBdr/>
        <w:spacing/>
        <w:ind/>
        <w:rPr/>
      </w:pPr>
      <w:r>
        <w:t xml:space="preserve">The core research formulation is coherent, but several experimental ch</w:t>
      </w:r>
      <w:r>
        <w:t xml:space="preserve">oices remain as methodological considerations before the final tables and claims are frozen. They are separated from the main research story so that the conceptual contribution, experimental assumptions, and remaining limitations are clearly distinguished.</w:t>
      </w:r>
      <w:r/>
    </w:p>
    <w:p>
      <w:pPr>
        <w:pBdr/>
        <w:spacing/>
        <w:ind/>
        <w:rPr/>
      </w:pPr>
      <w:r>
        <w:t xml:space="preserve">• CVaR vs expectation initialization: Different alpha values currently receive different random starting para</w:t>
      </w:r>
      <w:r>
        <w:t xml:space="preserve">meter streams, so part of the difference may come from initialization. Use identical starting (γ, β) sets for all alpha values at the same seed and depth.</w:t>
        <w:br/>
        <w:br/>
        <w:t xml:space="preserve">• Objective weights: Energy=0.35, ETX=0.35, Delay=0.30, λ_interference=1.0, λ_congestion=0.60 are re</w:t>
      </w:r>
      <w:r>
        <w:t xml:space="preserve">asonable experimental choices but need justification.</w:t>
        <w:br/>
        <w:br/>
        <w:t xml:space="preserve">• Candidate-path pool bias: Candidate generation is objective-independent, but starts from short-hop simple paths.</w:t>
        <w:br/>
        <w:br/>
        <w:t xml:space="preserve">• Interference model realism: Current protocol-style proximity model is simple and re</w:t>
      </w:r>
      <w:r>
        <w:t xml:space="preserve">producible, but not a full physical-layer SINR model.</w:t>
        <w:br/>
        <w:br/>
        <w:t xml:space="preserve">• Ideal statevector optimization: Parameters are optimized using exact statevector probabilities.</w:t>
        <w:br/>
        <w:br/>
        <w:t xml:space="preserve">• Restart budget consistency: Different qubit sizes may use different restart counts for tractability.</w:t>
      </w:r>
      <w:r/>
    </w:p>
    <w:p>
      <w:pPr>
        <w:pBdr/>
        <w:spacing/>
        <w:ind/>
        <w:rPr>
          <w:highlight w:val="none"/>
        </w:rPr>
      </w:pPr>
      <w:r>
        <w:rPr>
          <w:b/>
        </w:rPr>
        <w:t xml:space="preserve">Most important issue to fix first: </w:t>
      </w:r>
      <w:r>
        <w:t xml:space="preserve">For a fair CVaR-versus-expectation ablation, all alpha values at the same seed and QAOA depth should use the same pre-generated starting parameter sets.</w:t>
      </w:r>
      <w:r/>
    </w:p>
    <w:p w14:paraId="335DBBA3">
      <w:pPr>
        <w:pBdr/>
        <w:spacing/>
        <w:ind/>
        <w:rPr/>
      </w:pPr>
      <w:r>
        <w:rPr>
          <w:highlight w:val="none"/>
        </w:rPr>
      </w:r>
      <w:r>
        <w:rPr>
          <w:highlight w:val="none"/>
        </w:rPr>
      </w:r>
      <w:r>
        <w:rPr>
          <w:highlight w:val="none"/>
        </w:rPr>
      </w:r>
    </w:p>
    <w:p>
      <w:pPr>
        <w:pStyle w:val="834"/>
        <w:pBdr/>
        <w:spacing/>
        <w:ind/>
        <w:rPr/>
      </w:pPr>
      <w:r>
        <w:t xml:space="preserve">10. Concise Research Summary</w:t>
      </w:r>
      <w:r/>
    </w:p>
    <w:p>
      <w:pPr>
        <w:pBdr/>
        <w:spacing/>
        <w:ind/>
        <w:rPr>
          <w:highlight w:val="none"/>
        </w:rPr>
      </w:pPr>
      <w:r>
        <w:t xml:space="preserve">The revised AgriTrust-MF formulation moves beyond an easy single-flow layered routing problem. Several sensor flows transmit simultaneously, each with multiple topology-feasible candidate paths, and the selec</w:t>
      </w:r>
      <w:r>
        <w:t xml:space="preserve">ted routes interact through wireless interference and congestion. The optimization therefore selects one path for every flow jointly. Each flow is encoded as a one-hot route block. A W/Dicke-1 initial state and block-wise XY mixer keep the quantum search i</w:t>
      </w:r>
      <w:r>
        <w:t xml:space="preserve">nside the exactly-one-route feasible subspace, while the cost Hamiltonian contains energy, ETX, delay, interference, and congestion. The constraint-preserving QAOA is compared with penalty-X QAOA, exact ground truth, and simulated annealing over 20 fixed n</w:t>
      </w:r>
      <w:r>
        <w:t xml:space="preserve">etwork seeds and multiple qubit sizes. The study does not claim quantum speedup. Its central question is whether constraint preservation improves feasible probability allocation and solution quality, and what circuit-resource cost is paid for that benefit.</w:t>
      </w:r>
      <w:r/>
    </w:p>
    <w:p w14:paraId="24F5265D">
      <w:pPr>
        <w:pBdr/>
        <w:spacing/>
        <w:ind/>
        <w:rPr/>
      </w:pPr>
      <w:r>
        <w:rPr>
          <w:highlight w:val="none"/>
        </w:rPr>
      </w:r>
      <w:r>
        <w:rPr>
          <w:highlight w:val="none"/>
        </w:rPr>
      </w:r>
      <w:r>
        <w:rPr>
          <w:highlight w:val="none"/>
        </w:rPr>
      </w:r>
    </w:p>
    <w:p>
      <w:pPr>
        <w:pStyle w:val="834"/>
        <w:pBdr/>
        <w:spacing/>
        <w:ind/>
        <w:rPr/>
      </w:pPr>
      <w:r>
        <w:t xml:space="preserve">11. Final Research Message</w:t>
      </w:r>
      <w:r/>
    </w:p>
    <w:p>
      <w:pPr>
        <w:pBdr/>
        <w:spacing/>
        <w:ind/>
        <w:rPr/>
      </w:pPr>
      <w:r>
        <w:t xml:space="preserve">The resear</w:t>
      </w:r>
      <w:r>
        <w:t xml:space="preserve">ch is best understood as a joint multi-flow route-coordination study, not as a shortest-path study and not as a security-detection study. Its novelty should come from the combination of:</w:t>
        <w:br/>
        <w:br/>
        <w:t xml:space="preserve">• interference-aware multi-flow WSN route selection,</w:t>
        <w:br/>
        <w:t xml:space="preserve">• path-level on</w:t>
      </w:r>
      <w:r>
        <w:t xml:space="preserve">e-hot encoding,</w:t>
        <w:br/>
        <w:t xml:space="preserve">• W/Dicke-1 initialization,</w:t>
        <w:br/>
        <w:t xml:space="preserve">• block-wise constraint-preserving XY mixing,</w:t>
        <w:br/>
        <w:t xml:space="preserve">• controlled comparison with penalty-X QAOA and classical baselines, and</w:t>
        <w:br/>
        <w:t xml:space="preserve">• honest reporting of feasibility, solution quality, scaling and circuit-resource trade-offs.</w:t>
      </w:r>
      <w:r/>
    </w:p>
    <w:p>
      <w:pPr>
        <w:pBdr/>
        <w:spacing/>
        <w:ind/>
        <w:rPr/>
      </w:pPr>
      <w:r>
        <w:rPr>
          <w:b/>
        </w:rPr>
        <w:t xml:space="preserve">Old question: </w:t>
      </w:r>
      <w:r>
        <w:t xml:space="preserve">"Which route is best for one flow?"</w:t>
      </w:r>
      <w:r/>
    </w:p>
    <w:p>
      <w:pPr>
        <w:pBdr/>
        <w:spacing/>
        <w:ind/>
        <w:rPr/>
      </w:pPr>
      <w:r>
        <w:rPr>
          <w:b/>
        </w:rPr>
        <w:t xml:space="preserve">New question: </w:t>
      </w:r>
      <w:r>
        <w:t xml:space="preserve">"Which combination of routes is best for all flows together?"</w:t>
      </w:r>
      <w:r/>
    </w:p>
    <w:p>
      <w:pPr>
        <w:pBdr/>
        <w:spacing/>
        <w:ind/>
        <w:rPr/>
      </w:pPr>
      <w:r>
        <w:t xml:space="preserve">That second question is the core of the revised AgriTrust-MF research direction.</w:t>
      </w:r>
      <w:r/>
    </w:p>
    <w:p>
      <w:pPr>
        <w:pBdr/>
        <w:spacing/>
        <w:ind/>
        <w:rPr>
          <w:bCs/>
          <w:i/>
          <w:sz w:val="18"/>
          <w:szCs w:val="18"/>
          <w:highlight w:val="none"/>
        </w:rPr>
      </w:pPr>
      <w:r>
        <w:rPr>
          <w:i/>
          <w:sz w:val="18"/>
        </w:rPr>
        <w:br/>
        <w:t xml:space="preserve">This report explains the methodology implemented in the revised notebook and explicitly separates supported claims from remaining methodological limitations. It intentionally avoids claiming quantum advantage or hardware execution.</w:t>
      </w:r>
      <w:r/>
    </w:p>
    <w:p w14:paraId="493045BD">
      <w:pPr>
        <w:pBdr/>
        <w:spacing/>
        <w:ind/>
        <w:rPr/>
      </w:pPr>
      <w:r>
        <w:rPr>
          <w:i/>
          <w:sz w:val="18"/>
          <w:highlight w:val="none"/>
        </w:rPr>
      </w:r>
      <w:r>
        <w:rPr>
          <w:i/>
          <w:sz w:val="18"/>
          <w:highlight w:val="none"/>
        </w:rPr>
      </w:r>
      <w:r>
        <w:rPr>
          <w:i/>
          <w:sz w:val="18"/>
          <w:highlight w:val="none"/>
        </w:rPr>
      </w:r>
    </w:p>
    <w:p>
      <w:pPr>
        <w:pStyle w:val="834"/>
        <w:pBdr/>
        <w:spacing/>
        <w:ind/>
        <w:rPr/>
      </w:pPr>
      <w:r>
        <w:t xml:space="preserve">AI Usage Declaration</w:t>
      </w:r>
      <w:r/>
    </w:p>
    <w:p>
      <w:pPr>
        <w:pBdr/>
        <w:spacing/>
        <w:ind/>
        <w:rPr/>
      </w:pPr>
      <w:r>
        <w:t xml:space="preserve">AI tools (Claude, GitHub Copilot) were used for: (1) code review and debugging of Qiskit circuit implementations, (2) generating boilerplate experiment orchestration scripts</w:t>
      </w:r>
      <w:r>
        <w:t xml:space="preserve">, and (3) prose editing of report sections for grammar and clarity. All scientific methodology, experimental design, result interpretation, and conclusions were produced by the authors. AI-assisted content constitutes approximately 15% of this report text.</w:t>
      </w:r>
      <w:r/>
    </w:p>
    <w:sectPr>
      <w:headerReference w:type="default" r:id="rId9"/>
      <w:headerReference w:type="even" r:id="rId10"/>
      <w:footerReference w:type="default" r:id="rId11"/>
      <w:footerReference w:type="even" r:id="rId12"/>
      <w:footerReference w:type="first" r:id="rId13"/>
      <w:footnotePr/>
      <w:endnotePr/>
      <w:type w:val="nextPage"/>
      <w:pgSz w:h="16838" w:orient="portrait" w:w="11906"/>
      <w:pgMar w:top="500" w:right="500" w:bottom="500" w:left="500" w:header="708" w:footer="708" w:gutter="0"/>
      <w:pgNumType w:start="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Georgia">
    <w:panose1 w:val="02040502050405020303"/>
  </w:font>
  <w:font w:name="Arial">
    <w:panose1 w:val="020B060402020202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4"/>
      <w:pBdr/>
      <w:spacing/>
      <w:ind/>
      <w:jc w:val="right"/>
      <w:rPr/>
    </w:pPr>
    <w:r>
      <w:fldChar w:fldCharType="begin"/>
    </w:r>
    <w:r>
      <w:instrText xml:space="preserve">PAGE</w:instrText>
    </w:r>
    <w:r>
      <w:fldChar w:fldCharType="separate"/>
    </w:r>
    <w:r>
      <w:t xml:space="preserve">1</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4"/>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4"/>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4"/>
      <w:pBdr/>
      <w:spacing/>
      <w:ind/>
      <w:jc w:val="center"/>
      <w:rPr/>
    </w:pPr>
    <w:r>
      <w:rPr>
        <w:b/>
        <w:bCs/>
        <w:sz w:val="30"/>
        <w:szCs w:val="30"/>
      </w:rPr>
      <w:t xml:space="preserve">Final Report of Internship Programme</w:t>
    </w:r>
    <w:r>
      <mc:AlternateContent>
        <mc:Choice Requires="wpg">
          <w:drawing>
            <wp:anchor xmlns:wp="http://schemas.openxmlformats.org/drawingml/2006/wordprocessingDrawing" xmlns:wp14="http://schemas.microsoft.com/office/word/2010/wordprocessingDrawing" distT="0" distB="0" distL="114300" distR="114300" simplePos="0" relativeHeight="251657728" behindDoc="1" locked="0" layoutInCell="1" allowOverlap="1">
              <wp:simplePos x="0" y="0"/>
              <wp:positionH relativeFrom="margin">
                <wp:align>center</wp:align>
              </wp:positionH>
              <wp:positionV relativeFrom="margin">
                <wp:align>center</wp:align>
              </wp:positionV>
              <wp:extent cx="9231630" cy="561975"/>
              <wp:effectExtent l="0" t="0" r="0" b="0"/>
              <wp:wrapNone/>
              <wp:docPr id="1" name="PowerPlusWaterMarkObject1"/>
              <wp:cNvGraphicFramePr/>
              <a:graphic xmlns:a="http://schemas.openxmlformats.org/drawingml/2006/main">
                <a:graphicData uri="http://schemas.microsoft.com/office/word/2010/wordprocessingShape">
                  <wps:wsp>
                    <wps:cNvPr id="0" name=""/>
                    <wps:cNvSpPr/>
                    <wps:spPr bwMode="auto">
                      <a:xfrm rot="18900000">
                        <a:off x="0" y="0"/>
                        <a:ext cx="9231630" cy="561975"/>
                      </a:xfrm>
                      <a:prstGeom prst="rect">
                        <a:avLst/>
                      </a:prstGeom>
                      <a:noFill/>
                      <a:ln>
                        <a:noFill/>
                      </a:ln>
                    </wps:spPr>
                    <wps:txbx>
                      <w:txbxContent>
                        <w:p>
                          <w:pPr>
                            <w:pBdr/>
                            <w:spacing/>
                            <w:ind/>
                            <w:rPr/>
                          </w:pPr>
                          <w:r/>
                          <w:r/>
                        </w:p>
                      </w:txbxContent>
                    </wps:txbx>
                    <wps:bodyPr wrap="square" lIns="0" tIns="0" rIns="0" bIns="0" fromWordArt="1">
                      <a:prstTxWarp prst="textPlain">
                        <a:avLst>
                          <a:gd name="adj" fmla="val 50000"/>
                        </a:avLst>
                      </a:prstTxWarp>
                      <a:normAutofit/>
                    </wps:bodyPr>
                  </wps:wsp>
                </a:graphicData>
              </a:graphic>
            </wp:anchor>
          </w:drawing>
        </mc:Choice>
        <mc:Fallback>
          <w:pict>
            <v:shape id="PowerPlusWaterMarkObject1" o:spid="_x0000_s0" o:spt="1" type="#_x0000_t1" style="position:absolute;z-index:-251657728;o:allowoverlap:true;o:allowincell:true;mso-position-horizontal-relative:margin;mso-position-horizontal:center;mso-position-vertical-relative:margin;mso-position-vertical:center;width:726.90pt;height:44.25pt;mso-wrap-distance-left:9.00pt;mso-wrap-distance-top:0.00pt;mso-wrap-distance-right:9.00pt;mso-wrap-distance-bottom:0.00pt;rotation:315;visibility:visible;" filled="f" stroked="f">
              <v:textbox inset="0,0,0,0">
                <w:txbxContent>
                  <w:p>
                    <w:pPr>
                      <w:pBdr/>
                      <w:spacing/>
                      <w:ind/>
                      <w:rPr/>
                    </w:pPr>
                    <w:r/>
                    <w:r/>
                  </w:p>
                </w:txbxContent>
              </v:textbox>
            </v:shape>
          </w:pict>
        </mc:Fallback>
      </mc:AlternateContent>
    </w:r>
    <w:r>
      <mc:AlternateContent>
        <mc:Choice Requires="wpg">
          <w:drawing>
            <wp:anchor xmlns:wp="http://schemas.openxmlformats.org/drawingml/2006/wordprocessingDrawing" xmlns:wp14="http://schemas.microsoft.com/office/word/2010/wordprocessingDrawing" distT="114300" distB="114300" distL="114300" distR="114300" simplePos="0" relativeHeight="251655680" behindDoc="0" locked="0" layoutInCell="1" allowOverlap="1">
              <wp:simplePos x="0" y="0"/>
              <wp:positionH relativeFrom="column">
                <wp:posOffset>-180974</wp:posOffset>
              </wp:positionH>
              <wp:positionV relativeFrom="paragraph">
                <wp:posOffset>-333374</wp:posOffset>
              </wp:positionV>
              <wp:extent cx="1282347" cy="428625"/>
              <wp:effectExtent l="0" t="0" r="0" b="0"/>
              <wp:wrapNone/>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ic:nvPr/>
                    </pic:nvPicPr>
                    <pic:blipFill rotWithShape="1">
                      <a:blip r:embed="rId1"/>
                      <a:stretch/>
                    </pic:blipFill>
                    <pic:spPr bwMode="auto">
                      <a:xfrm>
                        <a:off x="0" y="0"/>
                        <a:ext cx="1282347" cy="428625"/>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5680;o:allowoverlap:true;o:allowincell:true;mso-position-horizontal-relative:text;margin-left:-14.25pt;mso-position-horizontal:absolute;mso-position-vertical-relative:text;margin-top:-26.25pt;mso-position-vertical:absolute;width:100.97pt;height:33.75pt;mso-wrap-distance-left:9.00pt;mso-wrap-distance-top:9.00pt;mso-wrap-distance-right:9.00pt;mso-wrap-distance-bottom:9.00pt;z-index:1;">
              <v:imagedata r:id="rId1"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114300" distB="114300" distL="114300" distR="114300" simplePos="0" relativeHeight="251656704" behindDoc="0" locked="0" layoutInCell="1" allowOverlap="1">
              <wp:simplePos x="0" y="0"/>
              <wp:positionH relativeFrom="column">
                <wp:posOffset>5716588</wp:posOffset>
              </wp:positionH>
              <wp:positionV relativeFrom="paragraph">
                <wp:posOffset>-333374</wp:posOffset>
              </wp:positionV>
              <wp:extent cx="1455738" cy="433171"/>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ic:nvPr/>
                    </pic:nvPicPr>
                    <pic:blipFill rotWithShape="1">
                      <a:blip r:embed="rId2"/>
                      <a:stretch/>
                    </pic:blipFill>
                    <pic:spPr bwMode="auto">
                      <a:xfrm>
                        <a:off x="0" y="0"/>
                        <a:ext cx="1455738" cy="433171"/>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251656704;o:allowoverlap:true;o:allowincell:true;mso-position-horizontal-relative:text;margin-left:450.13pt;mso-position-horizontal:absolute;mso-position-vertical-relative:text;margin-top:-26.25pt;mso-position-vertical:absolute;width:114.63pt;height:34.11pt;mso-wrap-distance-left:9.00pt;mso-wrap-distance-top:9.00pt;mso-wrap-distance-right:9.00pt;mso-wrap-distance-bottom:9.00pt;z-index:1;">
              <v:imagedata r:id="rId2"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114300" distB="114300" distL="114300" distR="114300" simplePos="0" relativeHeight="251657728" behindDoc="0" locked="0" layoutInCell="1" allowOverlap="1">
              <wp:simplePos x="0" y="0"/>
              <wp:positionH relativeFrom="column">
                <wp:posOffset>3276763</wp:posOffset>
              </wp:positionH>
              <wp:positionV relativeFrom="paragraph">
                <wp:posOffset>-335279</wp:posOffset>
              </wp:positionV>
              <wp:extent cx="372953" cy="365342"/>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ic:nvPr/>
                    </pic:nvPicPr>
                    <pic:blipFill rotWithShape="1">
                      <a:blip r:embed="rId3"/>
                      <a:stretch/>
                    </pic:blipFill>
                    <pic:spPr bwMode="auto">
                      <a:xfrm>
                        <a:off x="0" y="0"/>
                        <a:ext cx="372953" cy="365342"/>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57728;o:allowoverlap:true;o:allowincell:true;mso-position-horizontal-relative:text;margin-left:258.01pt;mso-position-horizontal:absolute;mso-position-vertical-relative:text;margin-top:-26.40pt;mso-position-vertical:absolute;width:29.37pt;height:28.77pt;mso-wrap-distance-left:9.00pt;mso-wrap-distance-top:9.00pt;mso-wrap-distance-right:9.00pt;mso-wrap-distance-bottom:9.00pt;z-index:1;">
              <v:imagedata r:id="rId3" o:title=""/>
              <o:lock v:ext="edit" rotation="t"/>
            </v:shape>
          </w:pict>
        </mc:Fallback>
      </mc:AlternateContent>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44"/>
      <w:pBdr/>
      <w:spacing/>
      <w:ind/>
      <w:rPr/>
    </w:pPr>
    <w:r>
      <mc:AlternateContent>
        <mc:Choice Requires="wpg">
          <w:drawing>
            <wp:anchor xmlns:wp="http://schemas.openxmlformats.org/drawingml/2006/wordprocessingDrawing" xmlns:wp14="http://schemas.microsoft.com/office/word/2010/wordprocessingDrawing" distT="0" distB="0" distL="114300" distR="114300" simplePos="0" relativeHeight="251656704" behindDoc="1" locked="0" layoutInCell="1" allowOverlap="1">
              <wp:simplePos x="0" y="0"/>
              <wp:positionH relativeFrom="margin">
                <wp:align>center</wp:align>
              </wp:positionH>
              <wp:positionV relativeFrom="margin">
                <wp:align>center</wp:align>
              </wp:positionV>
              <wp:extent cx="9231630" cy="561975"/>
              <wp:effectExtent l="0" t="0" r="0" b="0"/>
              <wp:wrapNone/>
              <wp:docPr id="5" name="PowerPlusWaterMarkObject2"/>
              <wp:cNvGraphicFramePr/>
              <a:graphic xmlns:a="http://schemas.openxmlformats.org/drawingml/2006/main">
                <a:graphicData uri="http://schemas.microsoft.com/office/word/2010/wordprocessingShape">
                  <wps:wsp>
                    <wps:cNvPr id="0" name=""/>
                    <wps:cNvSpPr/>
                    <wps:spPr bwMode="auto">
                      <a:xfrm rot="18900000">
                        <a:off x="0" y="0"/>
                        <a:ext cx="9231630" cy="561975"/>
                      </a:xfrm>
                      <a:prstGeom prst="rect">
                        <a:avLst/>
                      </a:prstGeom>
                      <a:noFill/>
                      <a:ln>
                        <a:noFill/>
                      </a:ln>
                    </wps:spPr>
                    <wps:txbx>
                      <w:txbxContent>
                        <w:p>
                          <w:pPr>
                            <w:pBdr/>
                            <w:spacing/>
                            <w:ind/>
                            <w:rPr/>
                          </w:pPr>
                          <w:r/>
                          <w:r/>
                        </w:p>
                      </w:txbxContent>
                    </wps:txbx>
                    <wps:bodyPr wrap="square" lIns="0" tIns="0" rIns="0" bIns="0" fromWordArt="1">
                      <a:prstTxWarp prst="textPlain">
                        <a:avLst>
                          <a:gd name="adj" fmla="val 50000"/>
                        </a:avLst>
                      </a:prstTxWarp>
                      <a:normAutofit/>
                    </wps:bodyPr>
                  </wps:wsp>
                </a:graphicData>
              </a:graphic>
            </wp:anchor>
          </w:drawing>
        </mc:Choice>
        <mc:Fallback>
          <w:pict>
            <v:shape id="PowerPlusWaterMarkObject2" o:spid="_x0000_s4" o:spt="1" type="#_x0000_t1" style="position:absolute;z-index:-251656704;o:allowoverlap:true;o:allowincell:true;mso-position-horizontal-relative:margin;mso-position-horizontal:center;mso-position-vertical-relative:margin;mso-position-vertical:center;width:726.90pt;height:44.25pt;mso-wrap-distance-left:9.00pt;mso-wrap-distance-top:0.00pt;mso-wrap-distance-right:9.00pt;mso-wrap-distance-bottom:0.00pt;rotation:315;visibility:visible;" filled="f" stroked="f">
              <v:textbox inset="0,0,0,0">
                <w:txbxContent>
                  <w:p>
                    <w:pPr>
                      <w:pBdr/>
                      <w:spacing/>
                      <w:ind/>
                      <w:rPr/>
                    </w:pPr>
                    <w:r/>
                    <w:r/>
                  </w:p>
                </w:txbxContent>
              </v:textbox>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19564A"/>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abstractNum w:abstractNumId="1">
    <w:nsid w:val="21E03E98"/>
    <w:lvl w:ilvl="0">
      <w:isLgl w:val="false"/>
      <w:lvlJc w:val="left"/>
      <w:lvlText w:val="%1."/>
      <w:numFmt w:val="decimal"/>
      <w:pPr>
        <w:pBdr/>
        <w:spacing/>
        <w:ind w:hanging="360" w:left="720"/>
      </w:pPr>
      <w:rPr>
        <w:u w:val="none"/>
      </w:rPr>
      <w:start w:val="1"/>
      <w:suff w:val="tab"/>
    </w:lvl>
    <w:lvl w:ilvl="1">
      <w:isLgl w:val="false"/>
      <w:lvlJc w:val="left"/>
      <w:lvlText w:val="%2."/>
      <w:numFmt w:val="lowerLetter"/>
      <w:pPr>
        <w:pBdr/>
        <w:spacing/>
        <w:ind w:hanging="360" w:left="1440"/>
      </w:pPr>
      <w:rPr>
        <w:u w:val="none"/>
      </w:rPr>
      <w:start w:val="1"/>
      <w:suff w:val="tab"/>
    </w:lvl>
    <w:lvl w:ilvl="2">
      <w:isLgl w:val="false"/>
      <w:lvlJc w:val="left"/>
      <w:lvlText w:val="%3."/>
      <w:numFmt w:val="lowerRoman"/>
      <w:pPr>
        <w:pBdr/>
        <w:spacing/>
        <w:ind w:hanging="360" w:left="2160"/>
      </w:pPr>
      <w:rPr>
        <w:u w:val="none"/>
      </w:rPr>
      <w:start w:val="1"/>
      <w:suff w:val="tab"/>
    </w:lvl>
    <w:lvl w:ilvl="3">
      <w:isLgl w:val="false"/>
      <w:lvlJc w:val="left"/>
      <w:lvlText w:val="%4."/>
      <w:numFmt w:val="decimal"/>
      <w:pPr>
        <w:pBdr/>
        <w:spacing/>
        <w:ind w:hanging="360" w:left="2880"/>
      </w:pPr>
      <w:rPr>
        <w:u w:val="none"/>
      </w:rPr>
      <w:start w:val="1"/>
      <w:suff w:val="tab"/>
    </w:lvl>
    <w:lvl w:ilvl="4">
      <w:isLgl w:val="false"/>
      <w:lvlJc w:val="left"/>
      <w:lvlText w:val="%5."/>
      <w:numFmt w:val="lowerLetter"/>
      <w:pPr>
        <w:pBdr/>
        <w:spacing/>
        <w:ind w:hanging="360" w:left="3600"/>
      </w:pPr>
      <w:rPr>
        <w:u w:val="none"/>
      </w:rPr>
      <w:start w:val="1"/>
      <w:suff w:val="tab"/>
    </w:lvl>
    <w:lvl w:ilvl="5">
      <w:isLgl w:val="false"/>
      <w:lvlJc w:val="left"/>
      <w:lvlText w:val="%6."/>
      <w:numFmt w:val="lowerRoman"/>
      <w:pPr>
        <w:pBdr/>
        <w:spacing/>
        <w:ind w:hanging="360" w:left="4320"/>
      </w:pPr>
      <w:rPr>
        <w:u w:val="none"/>
      </w:rPr>
      <w:start w:val="1"/>
      <w:suff w:val="tab"/>
    </w:lvl>
    <w:lvl w:ilvl="6">
      <w:isLgl w:val="false"/>
      <w:lvlJc w:val="left"/>
      <w:lvlText w:val="%7."/>
      <w:numFmt w:val="decimal"/>
      <w:pPr>
        <w:pBdr/>
        <w:spacing/>
        <w:ind w:hanging="360" w:left="5040"/>
      </w:pPr>
      <w:rPr>
        <w:u w:val="none"/>
      </w:rPr>
      <w:start w:val="1"/>
      <w:suff w:val="tab"/>
    </w:lvl>
    <w:lvl w:ilvl="7">
      <w:isLgl w:val="false"/>
      <w:lvlJc w:val="left"/>
      <w:lvlText w:val="%8."/>
      <w:numFmt w:val="lowerLetter"/>
      <w:pPr>
        <w:pBdr/>
        <w:spacing/>
        <w:ind w:hanging="360" w:left="5760"/>
      </w:pPr>
      <w:rPr>
        <w:u w:val="none"/>
      </w:rPr>
      <w:start w:val="1"/>
      <w:suff w:val="tab"/>
    </w:lvl>
    <w:lvl w:ilvl="8">
      <w:isLgl w:val="false"/>
      <w:lvlJc w:val="left"/>
      <w:lvlText w:val="%9."/>
      <w:numFmt w:val="lowerRoman"/>
      <w:pPr>
        <w:pBdr/>
        <w:spacing/>
        <w:ind w:hanging="360" w:left="6480"/>
      </w:pPr>
      <w:rPr>
        <w:u w:val="none"/>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84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8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84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84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8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8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84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84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8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84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4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4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4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4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4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4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84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4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4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4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4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4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4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8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8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8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4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84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84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4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4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4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84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84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4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4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4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4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4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8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4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84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4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4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4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4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4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4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8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4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4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4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4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4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4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84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4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4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4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4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4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4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84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84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4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4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4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4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4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84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84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4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4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4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4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4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84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84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84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84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84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84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84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8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8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8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8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8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8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84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84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84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84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84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84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84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84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84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84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84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84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84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84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84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844"/>
    <w:next w:val="84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844"/>
    <w:next w:val="84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844"/>
    <w:next w:val="84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840"/>
    <w:link w:val="834"/>
    <w:uiPriority w:val="9"/>
    <w:pPr>
      <w:pBdr/>
      <w:spacing/>
      <w:ind/>
    </w:pPr>
    <w:rPr>
      <w:rFonts w:ascii="Arial" w:hAnsi="Arial" w:eastAsia="Arial" w:cs="Arial"/>
      <w:color w:val="0f4761" w:themeColor="accent1" w:themeShade="BF"/>
      <w:sz w:val="40"/>
      <w:szCs w:val="40"/>
    </w:rPr>
  </w:style>
  <w:style w:type="character" w:styleId="151">
    <w:name w:val="Heading 2 Char"/>
    <w:basedOn w:val="840"/>
    <w:link w:val="835"/>
    <w:uiPriority w:val="9"/>
    <w:pPr>
      <w:pBdr/>
      <w:spacing/>
      <w:ind/>
    </w:pPr>
    <w:rPr>
      <w:rFonts w:ascii="Arial" w:hAnsi="Arial" w:eastAsia="Arial" w:cs="Arial"/>
      <w:color w:val="0f4761" w:themeColor="accent1" w:themeShade="BF"/>
      <w:sz w:val="32"/>
      <w:szCs w:val="32"/>
    </w:rPr>
  </w:style>
  <w:style w:type="character" w:styleId="152">
    <w:name w:val="Heading 3 Char"/>
    <w:basedOn w:val="840"/>
    <w:link w:val="836"/>
    <w:uiPriority w:val="9"/>
    <w:pPr>
      <w:pBdr/>
      <w:spacing/>
      <w:ind/>
    </w:pPr>
    <w:rPr>
      <w:rFonts w:ascii="Arial" w:hAnsi="Arial" w:eastAsia="Arial" w:cs="Arial"/>
      <w:color w:val="0f4761" w:themeColor="accent1" w:themeShade="BF"/>
      <w:sz w:val="28"/>
      <w:szCs w:val="28"/>
    </w:rPr>
  </w:style>
  <w:style w:type="character" w:styleId="153">
    <w:name w:val="Heading 4 Char"/>
    <w:basedOn w:val="840"/>
    <w:link w:val="837"/>
    <w:uiPriority w:val="9"/>
    <w:pPr>
      <w:pBdr/>
      <w:spacing/>
      <w:ind/>
    </w:pPr>
    <w:rPr>
      <w:rFonts w:ascii="Arial" w:hAnsi="Arial" w:eastAsia="Arial" w:cs="Arial"/>
      <w:i/>
      <w:iCs/>
      <w:color w:val="0f4761" w:themeColor="accent1" w:themeShade="BF"/>
    </w:rPr>
  </w:style>
  <w:style w:type="character" w:styleId="154">
    <w:name w:val="Heading 5 Char"/>
    <w:basedOn w:val="840"/>
    <w:link w:val="838"/>
    <w:uiPriority w:val="9"/>
    <w:pPr>
      <w:pBdr/>
      <w:spacing/>
      <w:ind/>
    </w:pPr>
    <w:rPr>
      <w:rFonts w:ascii="Arial" w:hAnsi="Arial" w:eastAsia="Arial" w:cs="Arial"/>
      <w:color w:val="0f4761" w:themeColor="accent1" w:themeShade="BF"/>
    </w:rPr>
  </w:style>
  <w:style w:type="character" w:styleId="155">
    <w:name w:val="Heading 6 Char"/>
    <w:basedOn w:val="840"/>
    <w:link w:val="839"/>
    <w:uiPriority w:val="9"/>
    <w:pPr>
      <w:pBdr/>
      <w:spacing/>
      <w:ind/>
    </w:pPr>
    <w:rPr>
      <w:rFonts w:ascii="Arial" w:hAnsi="Arial" w:eastAsia="Arial" w:cs="Arial"/>
      <w:i/>
      <w:iCs/>
      <w:color w:val="595959" w:themeColor="text1" w:themeTint="A6"/>
    </w:rPr>
  </w:style>
  <w:style w:type="character" w:styleId="156">
    <w:name w:val="Heading 7 Char"/>
    <w:basedOn w:val="840"/>
    <w:link w:val="145"/>
    <w:uiPriority w:val="9"/>
    <w:pPr>
      <w:pBdr/>
      <w:spacing/>
      <w:ind/>
    </w:pPr>
    <w:rPr>
      <w:rFonts w:ascii="Arial" w:hAnsi="Arial" w:eastAsia="Arial" w:cs="Arial"/>
      <w:color w:val="595959" w:themeColor="text1" w:themeTint="A6"/>
    </w:rPr>
  </w:style>
  <w:style w:type="character" w:styleId="157">
    <w:name w:val="Heading 8 Char"/>
    <w:basedOn w:val="840"/>
    <w:link w:val="146"/>
    <w:uiPriority w:val="9"/>
    <w:pPr>
      <w:pBdr/>
      <w:spacing/>
      <w:ind/>
    </w:pPr>
    <w:rPr>
      <w:rFonts w:ascii="Arial" w:hAnsi="Arial" w:eastAsia="Arial" w:cs="Arial"/>
      <w:i/>
      <w:iCs/>
      <w:color w:val="272727" w:themeColor="text1" w:themeTint="D8"/>
    </w:rPr>
  </w:style>
  <w:style w:type="character" w:styleId="158">
    <w:name w:val="Heading 9 Char"/>
    <w:basedOn w:val="840"/>
    <w:link w:val="147"/>
    <w:uiPriority w:val="9"/>
    <w:pPr>
      <w:pBdr/>
      <w:spacing/>
      <w:ind/>
    </w:pPr>
    <w:rPr>
      <w:rFonts w:ascii="Arial" w:hAnsi="Arial" w:eastAsia="Arial" w:cs="Arial"/>
      <w:i/>
      <w:iCs/>
      <w:color w:val="272727" w:themeColor="text1" w:themeTint="D8"/>
    </w:rPr>
  </w:style>
  <w:style w:type="character" w:styleId="160">
    <w:name w:val="Title Char"/>
    <w:basedOn w:val="840"/>
    <w:link w:val="845"/>
    <w:uiPriority w:val="10"/>
    <w:pPr>
      <w:pBdr/>
      <w:spacing/>
      <w:ind/>
    </w:pPr>
    <w:rPr>
      <w:rFonts w:ascii="Arial" w:hAnsi="Arial" w:eastAsia="Arial" w:cs="Arial"/>
      <w:spacing w:val="-10"/>
      <w:sz w:val="56"/>
      <w:szCs w:val="56"/>
    </w:rPr>
  </w:style>
  <w:style w:type="character" w:styleId="162">
    <w:name w:val="Subtitle Char"/>
    <w:basedOn w:val="840"/>
    <w:link w:val="846"/>
    <w:uiPriority w:val="11"/>
    <w:pPr>
      <w:pBdr/>
      <w:spacing/>
      <w:ind/>
    </w:pPr>
    <w:rPr>
      <w:color w:val="595959" w:themeColor="text1" w:themeTint="A6"/>
      <w:spacing w:val="15"/>
      <w:sz w:val="28"/>
      <w:szCs w:val="28"/>
    </w:rPr>
  </w:style>
  <w:style w:type="paragraph" w:styleId="163">
    <w:name w:val="Quote"/>
    <w:basedOn w:val="844"/>
    <w:next w:val="844"/>
    <w:link w:val="164"/>
    <w:uiPriority w:val="29"/>
    <w:qFormat/>
    <w:pPr>
      <w:pBdr/>
      <w:spacing w:before="160"/>
      <w:ind/>
      <w:jc w:val="center"/>
    </w:pPr>
    <w:rPr>
      <w:i/>
      <w:iCs/>
      <w:color w:val="404040" w:themeColor="text1" w:themeTint="BF"/>
    </w:rPr>
  </w:style>
  <w:style w:type="character" w:styleId="164">
    <w:name w:val="Quote Char"/>
    <w:basedOn w:val="840"/>
    <w:link w:val="163"/>
    <w:uiPriority w:val="29"/>
    <w:pPr>
      <w:pBdr/>
      <w:spacing/>
      <w:ind/>
    </w:pPr>
    <w:rPr>
      <w:i/>
      <w:iCs/>
      <w:color w:val="404040" w:themeColor="text1" w:themeTint="BF"/>
    </w:rPr>
  </w:style>
  <w:style w:type="paragraph" w:styleId="165">
    <w:name w:val="List Paragraph"/>
    <w:basedOn w:val="844"/>
    <w:uiPriority w:val="34"/>
    <w:qFormat/>
    <w:pPr>
      <w:pBdr/>
      <w:spacing/>
      <w:ind w:left="720"/>
      <w:contextualSpacing w:val="true"/>
    </w:pPr>
  </w:style>
  <w:style w:type="character" w:styleId="166">
    <w:name w:val="Intense Emphasis"/>
    <w:basedOn w:val="840"/>
    <w:uiPriority w:val="21"/>
    <w:qFormat/>
    <w:pPr>
      <w:pBdr/>
      <w:spacing/>
      <w:ind/>
    </w:pPr>
    <w:rPr>
      <w:i/>
      <w:iCs/>
      <w:color w:val="0f4761" w:themeColor="accent1" w:themeShade="BF"/>
    </w:rPr>
  </w:style>
  <w:style w:type="paragraph" w:styleId="167">
    <w:name w:val="Intense Quote"/>
    <w:basedOn w:val="844"/>
    <w:next w:val="84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840"/>
    <w:link w:val="167"/>
    <w:uiPriority w:val="30"/>
    <w:pPr>
      <w:pBdr/>
      <w:spacing/>
      <w:ind/>
    </w:pPr>
    <w:rPr>
      <w:i/>
      <w:iCs/>
      <w:color w:val="0f4761" w:themeColor="accent1" w:themeShade="BF"/>
    </w:rPr>
  </w:style>
  <w:style w:type="character" w:styleId="169">
    <w:name w:val="Intense Reference"/>
    <w:basedOn w:val="840"/>
    <w:uiPriority w:val="32"/>
    <w:qFormat/>
    <w:pPr>
      <w:pBdr/>
      <w:spacing/>
      <w:ind/>
    </w:pPr>
    <w:rPr>
      <w:b/>
      <w:bCs/>
      <w:smallCaps/>
      <w:color w:val="0f4761" w:themeColor="accent1" w:themeShade="BF"/>
      <w:spacing w:val="5"/>
    </w:rPr>
  </w:style>
  <w:style w:type="paragraph" w:styleId="170">
    <w:name w:val="No Spacing"/>
    <w:basedOn w:val="844"/>
    <w:uiPriority w:val="1"/>
    <w:qFormat/>
    <w:pPr>
      <w:pBdr/>
      <w:spacing w:after="0" w:line="240" w:lineRule="auto"/>
      <w:ind/>
    </w:pPr>
  </w:style>
  <w:style w:type="character" w:styleId="171">
    <w:name w:val="Subtle Emphasis"/>
    <w:basedOn w:val="840"/>
    <w:uiPriority w:val="19"/>
    <w:qFormat/>
    <w:pPr>
      <w:pBdr/>
      <w:spacing/>
      <w:ind/>
    </w:pPr>
    <w:rPr>
      <w:i/>
      <w:iCs/>
      <w:color w:val="404040" w:themeColor="text1" w:themeTint="BF"/>
    </w:rPr>
  </w:style>
  <w:style w:type="character" w:styleId="172">
    <w:name w:val="Emphasis"/>
    <w:basedOn w:val="840"/>
    <w:uiPriority w:val="20"/>
    <w:qFormat/>
    <w:pPr>
      <w:pBdr/>
      <w:spacing/>
      <w:ind/>
    </w:pPr>
    <w:rPr>
      <w:i/>
      <w:iCs/>
    </w:rPr>
  </w:style>
  <w:style w:type="character" w:styleId="173">
    <w:name w:val="Strong"/>
    <w:basedOn w:val="840"/>
    <w:uiPriority w:val="22"/>
    <w:qFormat/>
    <w:pPr>
      <w:pBdr/>
      <w:spacing/>
      <w:ind/>
    </w:pPr>
    <w:rPr>
      <w:b/>
      <w:bCs/>
    </w:rPr>
  </w:style>
  <w:style w:type="character" w:styleId="174">
    <w:name w:val="Subtle Reference"/>
    <w:basedOn w:val="840"/>
    <w:uiPriority w:val="31"/>
    <w:qFormat/>
    <w:pPr>
      <w:pBdr/>
      <w:spacing/>
      <w:ind/>
    </w:pPr>
    <w:rPr>
      <w:smallCaps/>
      <w:color w:val="5a5a5a" w:themeColor="text1" w:themeTint="A5"/>
    </w:rPr>
  </w:style>
  <w:style w:type="character" w:styleId="175">
    <w:name w:val="Book Title"/>
    <w:basedOn w:val="840"/>
    <w:uiPriority w:val="33"/>
    <w:qFormat/>
    <w:pPr>
      <w:pBdr/>
      <w:spacing/>
      <w:ind/>
    </w:pPr>
    <w:rPr>
      <w:b/>
      <w:bCs/>
      <w:i/>
      <w:iCs/>
      <w:spacing w:val="5"/>
    </w:rPr>
  </w:style>
  <w:style w:type="paragraph" w:styleId="176">
    <w:name w:val="Header"/>
    <w:basedOn w:val="844"/>
    <w:link w:val="177"/>
    <w:uiPriority w:val="99"/>
    <w:unhideWhenUsed/>
    <w:pPr>
      <w:pBdr/>
      <w:tabs>
        <w:tab w:val="center" w:leader="none" w:pos="4844"/>
        <w:tab w:val="right" w:leader="none" w:pos="9689"/>
      </w:tabs>
      <w:spacing w:after="0" w:line="240" w:lineRule="auto"/>
      <w:ind/>
    </w:pPr>
  </w:style>
  <w:style w:type="character" w:styleId="177">
    <w:name w:val="Header Char"/>
    <w:basedOn w:val="840"/>
    <w:link w:val="176"/>
    <w:uiPriority w:val="99"/>
    <w:pPr>
      <w:pBdr/>
      <w:spacing/>
      <w:ind/>
    </w:pPr>
  </w:style>
  <w:style w:type="paragraph" w:styleId="178">
    <w:name w:val="Footer"/>
    <w:basedOn w:val="844"/>
    <w:link w:val="179"/>
    <w:uiPriority w:val="99"/>
    <w:unhideWhenUsed/>
    <w:pPr>
      <w:pBdr/>
      <w:tabs>
        <w:tab w:val="center" w:leader="none" w:pos="4844"/>
        <w:tab w:val="right" w:leader="none" w:pos="9689"/>
      </w:tabs>
      <w:spacing w:after="0" w:line="240" w:lineRule="auto"/>
      <w:ind/>
    </w:pPr>
  </w:style>
  <w:style w:type="character" w:styleId="179">
    <w:name w:val="Footer Char"/>
    <w:basedOn w:val="840"/>
    <w:link w:val="178"/>
    <w:uiPriority w:val="99"/>
    <w:pPr>
      <w:pBdr/>
      <w:spacing/>
      <w:ind/>
    </w:pPr>
  </w:style>
  <w:style w:type="paragraph" w:styleId="180">
    <w:name w:val="Caption"/>
    <w:basedOn w:val="844"/>
    <w:next w:val="844"/>
    <w:uiPriority w:val="35"/>
    <w:unhideWhenUsed/>
    <w:qFormat/>
    <w:pPr>
      <w:pBdr/>
      <w:spacing w:after="200" w:line="240" w:lineRule="auto"/>
      <w:ind/>
    </w:pPr>
    <w:rPr>
      <w:i/>
      <w:iCs/>
      <w:color w:val="0e2841" w:themeColor="text2"/>
      <w:sz w:val="18"/>
      <w:szCs w:val="18"/>
    </w:rPr>
  </w:style>
  <w:style w:type="paragraph" w:styleId="181">
    <w:name w:val="footnote text"/>
    <w:basedOn w:val="844"/>
    <w:link w:val="182"/>
    <w:uiPriority w:val="99"/>
    <w:semiHidden/>
    <w:unhideWhenUsed/>
    <w:pPr>
      <w:pBdr/>
      <w:spacing w:after="0" w:line="240" w:lineRule="auto"/>
      <w:ind/>
    </w:pPr>
    <w:rPr>
      <w:sz w:val="20"/>
      <w:szCs w:val="20"/>
    </w:rPr>
  </w:style>
  <w:style w:type="character" w:styleId="182">
    <w:name w:val="Footnote Text Char"/>
    <w:basedOn w:val="840"/>
    <w:link w:val="181"/>
    <w:uiPriority w:val="99"/>
    <w:semiHidden/>
    <w:pPr>
      <w:pBdr/>
      <w:spacing/>
      <w:ind/>
    </w:pPr>
    <w:rPr>
      <w:sz w:val="20"/>
      <w:szCs w:val="20"/>
    </w:rPr>
  </w:style>
  <w:style w:type="character" w:styleId="183">
    <w:name w:val="footnote reference"/>
    <w:basedOn w:val="840"/>
    <w:uiPriority w:val="99"/>
    <w:semiHidden/>
    <w:unhideWhenUsed/>
    <w:pPr>
      <w:pBdr/>
      <w:spacing/>
      <w:ind/>
    </w:pPr>
    <w:rPr>
      <w:vertAlign w:val="superscript"/>
    </w:rPr>
  </w:style>
  <w:style w:type="paragraph" w:styleId="184">
    <w:name w:val="endnote text"/>
    <w:basedOn w:val="844"/>
    <w:link w:val="185"/>
    <w:uiPriority w:val="99"/>
    <w:semiHidden/>
    <w:unhideWhenUsed/>
    <w:pPr>
      <w:pBdr/>
      <w:spacing w:after="0" w:line="240" w:lineRule="auto"/>
      <w:ind/>
    </w:pPr>
    <w:rPr>
      <w:sz w:val="20"/>
      <w:szCs w:val="20"/>
    </w:rPr>
  </w:style>
  <w:style w:type="character" w:styleId="185">
    <w:name w:val="Endnote Text Char"/>
    <w:basedOn w:val="840"/>
    <w:link w:val="184"/>
    <w:uiPriority w:val="99"/>
    <w:semiHidden/>
    <w:pPr>
      <w:pBdr/>
      <w:spacing/>
      <w:ind/>
    </w:pPr>
    <w:rPr>
      <w:sz w:val="20"/>
      <w:szCs w:val="20"/>
    </w:rPr>
  </w:style>
  <w:style w:type="character" w:styleId="186">
    <w:name w:val="endnote reference"/>
    <w:basedOn w:val="840"/>
    <w:uiPriority w:val="99"/>
    <w:semiHidden/>
    <w:unhideWhenUsed/>
    <w:pPr>
      <w:pBdr/>
      <w:spacing/>
      <w:ind/>
    </w:pPr>
    <w:rPr>
      <w:vertAlign w:val="superscript"/>
    </w:rPr>
  </w:style>
  <w:style w:type="character" w:styleId="187">
    <w:name w:val="Hyperlink"/>
    <w:basedOn w:val="840"/>
    <w:uiPriority w:val="99"/>
    <w:unhideWhenUsed/>
    <w:pPr>
      <w:pBdr/>
      <w:spacing/>
      <w:ind/>
    </w:pPr>
    <w:rPr>
      <w:color w:val="0563c1" w:themeColor="hyperlink"/>
      <w:u w:val="single"/>
    </w:rPr>
  </w:style>
  <w:style w:type="character" w:styleId="188">
    <w:name w:val="FollowedHyperlink"/>
    <w:basedOn w:val="840"/>
    <w:uiPriority w:val="99"/>
    <w:semiHidden/>
    <w:unhideWhenUsed/>
    <w:pPr>
      <w:pBdr/>
      <w:spacing/>
      <w:ind/>
    </w:pPr>
    <w:rPr>
      <w:color w:val="954f72" w:themeColor="followedHyperlink"/>
      <w:u w:val="single"/>
    </w:rPr>
  </w:style>
  <w:style w:type="paragraph" w:styleId="189">
    <w:name w:val="toc 1"/>
    <w:basedOn w:val="844"/>
    <w:next w:val="844"/>
    <w:uiPriority w:val="39"/>
    <w:unhideWhenUsed/>
    <w:pPr>
      <w:pBdr/>
      <w:spacing w:after="100"/>
      <w:ind/>
    </w:pPr>
  </w:style>
  <w:style w:type="paragraph" w:styleId="190">
    <w:name w:val="toc 2"/>
    <w:basedOn w:val="844"/>
    <w:next w:val="844"/>
    <w:uiPriority w:val="39"/>
    <w:unhideWhenUsed/>
    <w:pPr>
      <w:pBdr/>
      <w:spacing w:after="100"/>
      <w:ind w:left="220"/>
    </w:pPr>
  </w:style>
  <w:style w:type="paragraph" w:styleId="191">
    <w:name w:val="toc 3"/>
    <w:basedOn w:val="844"/>
    <w:next w:val="844"/>
    <w:uiPriority w:val="39"/>
    <w:unhideWhenUsed/>
    <w:pPr>
      <w:pBdr/>
      <w:spacing w:after="100"/>
      <w:ind w:left="440"/>
    </w:pPr>
  </w:style>
  <w:style w:type="paragraph" w:styleId="192">
    <w:name w:val="toc 4"/>
    <w:basedOn w:val="844"/>
    <w:next w:val="844"/>
    <w:uiPriority w:val="39"/>
    <w:unhideWhenUsed/>
    <w:pPr>
      <w:pBdr/>
      <w:spacing w:after="100"/>
      <w:ind w:left="660"/>
    </w:pPr>
  </w:style>
  <w:style w:type="paragraph" w:styleId="193">
    <w:name w:val="toc 5"/>
    <w:basedOn w:val="844"/>
    <w:next w:val="844"/>
    <w:uiPriority w:val="39"/>
    <w:unhideWhenUsed/>
    <w:pPr>
      <w:pBdr/>
      <w:spacing w:after="100"/>
      <w:ind w:left="880"/>
    </w:pPr>
  </w:style>
  <w:style w:type="paragraph" w:styleId="194">
    <w:name w:val="toc 6"/>
    <w:basedOn w:val="844"/>
    <w:next w:val="844"/>
    <w:uiPriority w:val="39"/>
    <w:unhideWhenUsed/>
    <w:pPr>
      <w:pBdr/>
      <w:spacing w:after="100"/>
      <w:ind w:left="1100"/>
    </w:pPr>
  </w:style>
  <w:style w:type="paragraph" w:styleId="195">
    <w:name w:val="toc 7"/>
    <w:basedOn w:val="844"/>
    <w:next w:val="844"/>
    <w:uiPriority w:val="39"/>
    <w:unhideWhenUsed/>
    <w:pPr>
      <w:pBdr/>
      <w:spacing w:after="100"/>
      <w:ind w:left="1320"/>
    </w:pPr>
  </w:style>
  <w:style w:type="paragraph" w:styleId="196">
    <w:name w:val="toc 8"/>
    <w:basedOn w:val="844"/>
    <w:next w:val="844"/>
    <w:uiPriority w:val="39"/>
    <w:unhideWhenUsed/>
    <w:pPr>
      <w:pBdr/>
      <w:spacing w:after="100"/>
      <w:ind w:left="1540"/>
    </w:pPr>
  </w:style>
  <w:style w:type="paragraph" w:styleId="197">
    <w:name w:val="toc 9"/>
    <w:basedOn w:val="844"/>
    <w:next w:val="844"/>
    <w:uiPriority w:val="39"/>
    <w:unhideWhenUsed/>
    <w:pPr>
      <w:pBdr/>
      <w:spacing w:after="100"/>
      <w:ind w:left="1760"/>
    </w:pPr>
  </w:style>
  <w:style w:type="character" w:styleId="198">
    <w:name w:val="Placeholder Text"/>
    <w:basedOn w:val="84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844"/>
    <w:next w:val="844"/>
    <w:uiPriority w:val="99"/>
    <w:unhideWhenUsed/>
    <w:pPr>
      <w:pBdr/>
      <w:spacing w:after="0" w:afterAutospacing="0"/>
      <w:ind/>
    </w:pPr>
  </w:style>
  <w:style w:type="paragraph" w:styleId="833">
    <w:name w:val="Normal"/>
    <w:qFormat/>
    <w:pPr>
      <w:pBdr/>
      <w:spacing/>
      <w:ind/>
    </w:pPr>
  </w:style>
  <w:style w:type="paragraph" w:styleId="834">
    <w:name w:val="Heading 1"/>
    <w:basedOn w:val="844"/>
    <w:next w:val="844"/>
    <w:pPr>
      <w:pBdr>
        <w:top w:val="none" w:color="000000" w:sz="4" w:space="0"/>
        <w:left w:val="none" w:color="000000" w:sz="4" w:space="0"/>
        <w:bottom w:val="none" w:color="000000" w:sz="4" w:space="0"/>
        <w:right w:val="none" w:color="000000" w:sz="4" w:space="0"/>
        <w:between w:val="none" w:color="000000" w:sz="4" w:space="0"/>
      </w:pBdr>
      <w:spacing/>
      <w:ind/>
      <w:outlineLvl w:val="0"/>
    </w:pPr>
    <w:rPr>
      <w:color w:val="2e74b5"/>
      <w:sz w:val="32"/>
      <w:szCs w:val="32"/>
    </w:rPr>
  </w:style>
  <w:style w:type="paragraph" w:styleId="835">
    <w:name w:val="Heading 2"/>
    <w:basedOn w:val="844"/>
    <w:next w:val="844"/>
    <w:pPr>
      <w:pBdr>
        <w:top w:val="none" w:color="000000" w:sz="4" w:space="0"/>
        <w:left w:val="none" w:color="000000" w:sz="4" w:space="0"/>
        <w:bottom w:val="none" w:color="000000" w:sz="4" w:space="0"/>
        <w:right w:val="none" w:color="000000" w:sz="4" w:space="0"/>
        <w:between w:val="none" w:color="000000" w:sz="4" w:space="0"/>
      </w:pBdr>
      <w:spacing/>
      <w:ind/>
      <w:outlineLvl w:val="1"/>
    </w:pPr>
    <w:rPr>
      <w:color w:val="2e74b5"/>
      <w:sz w:val="26"/>
      <w:szCs w:val="26"/>
    </w:rPr>
  </w:style>
  <w:style w:type="paragraph" w:styleId="836">
    <w:name w:val="Heading 3"/>
    <w:basedOn w:val="844"/>
    <w:next w:val="844"/>
    <w:pPr>
      <w:pBdr>
        <w:top w:val="none" w:color="000000" w:sz="4" w:space="0"/>
        <w:left w:val="none" w:color="000000" w:sz="4" w:space="0"/>
        <w:bottom w:val="none" w:color="000000" w:sz="4" w:space="0"/>
        <w:right w:val="none" w:color="000000" w:sz="4" w:space="0"/>
        <w:between w:val="none" w:color="000000" w:sz="4" w:space="0"/>
      </w:pBdr>
      <w:spacing/>
      <w:ind/>
      <w:outlineLvl w:val="2"/>
    </w:pPr>
    <w:rPr>
      <w:color w:val="1f4d78"/>
      <w:sz w:val="24"/>
      <w:szCs w:val="24"/>
    </w:rPr>
  </w:style>
  <w:style w:type="paragraph" w:styleId="837">
    <w:name w:val="Heading 4"/>
    <w:basedOn w:val="844"/>
    <w:next w:val="844"/>
    <w:pPr>
      <w:pBdr>
        <w:top w:val="none" w:color="000000" w:sz="4" w:space="0"/>
        <w:left w:val="none" w:color="000000" w:sz="4" w:space="0"/>
        <w:bottom w:val="none" w:color="000000" w:sz="4" w:space="0"/>
        <w:right w:val="none" w:color="000000" w:sz="4" w:space="0"/>
        <w:between w:val="none" w:color="000000" w:sz="4" w:space="0"/>
      </w:pBdr>
      <w:spacing/>
      <w:ind/>
      <w:outlineLvl w:val="3"/>
    </w:pPr>
    <w:rPr>
      <w:i/>
      <w:iCs/>
      <w:color w:val="2e74b5"/>
    </w:rPr>
  </w:style>
  <w:style w:type="paragraph" w:styleId="838">
    <w:name w:val="Heading 5"/>
    <w:basedOn w:val="844"/>
    <w:next w:val="844"/>
    <w:pPr>
      <w:pBdr>
        <w:top w:val="none" w:color="000000" w:sz="4" w:space="0"/>
        <w:left w:val="none" w:color="000000" w:sz="4" w:space="0"/>
        <w:bottom w:val="none" w:color="000000" w:sz="4" w:space="0"/>
        <w:right w:val="none" w:color="000000" w:sz="4" w:space="0"/>
        <w:between w:val="none" w:color="000000" w:sz="4" w:space="0"/>
      </w:pBdr>
      <w:spacing/>
      <w:ind/>
      <w:outlineLvl w:val="4"/>
    </w:pPr>
    <w:rPr>
      <w:color w:val="2e74b5"/>
    </w:rPr>
  </w:style>
  <w:style w:type="paragraph" w:styleId="839">
    <w:name w:val="Heading 6"/>
    <w:basedOn w:val="844"/>
    <w:next w:val="844"/>
    <w:pPr>
      <w:pBdr>
        <w:top w:val="none" w:color="000000" w:sz="4" w:space="0"/>
        <w:left w:val="none" w:color="000000" w:sz="4" w:space="0"/>
        <w:bottom w:val="none" w:color="000000" w:sz="4" w:space="0"/>
        <w:right w:val="none" w:color="000000" w:sz="4" w:space="0"/>
        <w:between w:val="none" w:color="000000" w:sz="4" w:space="0"/>
      </w:pBdr>
      <w:spacing/>
      <w:ind/>
      <w:outlineLvl w:val="5"/>
    </w:pPr>
    <w:rPr>
      <w:color w:val="1f4d78"/>
    </w:rPr>
  </w:style>
  <w:style w:type="character" w:styleId="840" w:default="1">
    <w:name w:val="Default Paragraph Font"/>
    <w:uiPriority w:val="1"/>
    <w:semiHidden/>
    <w:unhideWhenUsed/>
    <w:pPr>
      <w:pBdr/>
      <w:spacing/>
      <w:ind/>
    </w:pPr>
  </w:style>
  <w:style w:type="table" w:styleId="841" w:default="1">
    <w:name w:val="Normal Table"/>
    <w:uiPriority w:val="99"/>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42" w:default="1">
    <w:name w:val="No List"/>
    <w:uiPriority w:val="99"/>
    <w:semiHidden/>
    <w:unhideWhenUsed/>
    <w:pPr>
      <w:pBdr/>
      <w:spacing/>
      <w:ind/>
    </w:pPr>
  </w:style>
  <w:style w:type="table" w:styleId="843" w:customStyle="1">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4" w:customStyle="1">
    <w:name w:val="Normal"/>
    <w:pPr>
      <w:pBdr/>
      <w:spacing/>
      <w:ind/>
    </w:pPr>
  </w:style>
  <w:style w:type="paragraph" w:styleId="845">
    <w:name w:val="Title"/>
    <w:basedOn w:val="844"/>
    <w:next w:val="844"/>
    <w:pPr>
      <w:pBdr>
        <w:top w:val="none" w:color="000000" w:sz="4" w:space="0"/>
        <w:left w:val="none" w:color="000000" w:sz="4" w:space="0"/>
        <w:bottom w:val="none" w:color="000000" w:sz="4" w:space="0"/>
        <w:right w:val="none" w:color="000000" w:sz="4" w:space="0"/>
        <w:between w:val="none" w:color="000000" w:sz="4" w:space="0"/>
      </w:pBdr>
      <w:spacing/>
      <w:ind/>
    </w:pPr>
    <w:rPr>
      <w:color w:val="000000"/>
      <w:sz w:val="56"/>
      <w:szCs w:val="56"/>
    </w:rPr>
  </w:style>
  <w:style w:type="paragraph" w:styleId="846">
    <w:name w:val="Subtitle"/>
    <w:basedOn w:val="844"/>
    <w:next w:val="844"/>
    <w:pPr>
      <w:keepNext w:val="true"/>
      <w:keepLines w:val="true"/>
      <w:pBdr/>
      <w:spacing w:after="80" w:before="360"/>
      <w:ind/>
    </w:pPr>
    <w:rPr>
      <w:rFonts w:ascii="Georgia" w:hAnsi="Georgia" w:eastAsia="Georgia" w:cs="Georgia"/>
      <w:i/>
      <w:iCs/>
      <w:color w:val="666666"/>
      <w:sz w:val="48"/>
      <w:szCs w:val="48"/>
    </w:rPr>
  </w:style>
  <w:style w:type="table" w:styleId="847" w:customStyle="1">
    <w:name w:val="StGen0"/>
    <w:basedOn w:val="843"/>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customStyle="1">
    <w:name w:val="StGen1"/>
    <w:basedOn w:val="843"/>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customStyle="1">
    <w:name w:val="StGen2"/>
    <w:basedOn w:val="843"/>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customStyle="1">
    <w:name w:val="StGen3"/>
    <w:basedOn w:val="843"/>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customStyle="1">
    <w:name w:val="StGen4"/>
    <w:basedOn w:val="843"/>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customStyle="1">
    <w:name w:val="StGen5"/>
    <w:basedOn w:val="843"/>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customStyle="1">
    <w:name w:val="StGen6"/>
    <w:basedOn w:val="843"/>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customStyle="1">
    <w:name w:val="StGen7"/>
    <w:basedOn w:val="843"/>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3.png"/></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created xsi:type="dcterms:W3CDTF">2026-08-11T14:23:00Z</dcterms:created>
  <dcterms:modified xsi:type="dcterms:W3CDTF">2026-08-22T09:22:25Z</dcterms:modified>
</cp:coreProperties>
</file>