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WANDELDARLEHENSVERTRAG</w:t>
      </w:r>
    </w:p>
    <w:p>
      <w:pPr>
        <w:jc w:val="center"/>
      </w:pPr>
      <w:r>
        <w:rPr>
          <w:b/>
          <w:sz w:val="28"/>
        </w:rPr>
        <w:t>CONVERTIBLE LOAN AGREEMENT</w:t>
      </w:r>
    </w:p>
    <w:p/>
    <w:tbl>
      <w:tblPr>
        <w:tblStyle w:val="TableGrid"/>
        <w:tblW w:type="auto" w:w="0"/>
        <w:tblLook w:firstColumn="1" w:firstRow="1" w:lastColumn="0" w:lastRow="0" w:noHBand="0" w:noVBand="1" w:val="04A0"/>
      </w:tblPr>
      <w:tblGrid>
        <w:gridCol w:w="4844"/>
        <w:gridCol w:w="4844"/>
      </w:tblGrid>
      <w:tr>
        <w:tc>
          <w:tcPr>
            <w:tcW w:type="dxa" w:w="4844"/>
            <w:shd w:val="clear" w:color="auto" w:fill="1a73e8"/>
          </w:tcPr>
          <w:p>
            <w:r>
              <w:rPr>
                <w:b/>
                <w:color w:val="FFFFFF"/>
                <w:sz w:val="18"/>
              </w:rPr>
              <w:t>DEUTSCHE FASSUNG (MASSGEBLICH)</w:t>
            </w:r>
          </w:p>
        </w:tc>
        <w:tc>
          <w:tcPr>
            <w:tcW w:type="dxa" w:w="4844"/>
            <w:shd w:val="clear" w:color="auto" w:fill="1a73e8"/>
          </w:tcPr>
          <w:p>
            <w:r>
              <w:rPr>
                <w:b/>
                <w:color w:val="FFFFFF"/>
                <w:sz w:val="18"/>
              </w:rPr>
              <w:t>ENGLISH VERSION (FOR REFERENCE ONLY)</w:t>
            </w:r>
          </w:p>
        </w:tc>
      </w:tr>
      <w:tr>
        <w:tc>
          <w:tcPr>
            <w:tcW w:type="dxa" w:w="4844"/>
          </w:tcPr>
          <w:p>
            <w:r/>
            <w:r>
              <w:rPr>
                <w:b/>
                <w:sz w:val="20"/>
              </w:rPr>
              <w:t>zwischen</w:t>
            </w:r>
          </w:p>
        </w:tc>
        <w:tc>
          <w:tcPr>
            <w:tcW w:type="dxa" w:w="4844"/>
          </w:tcPr>
          <w:p>
            <w:r/>
            <w:r>
              <w:rPr>
                <w:b/>
                <w:sz w:val="20"/>
              </w:rPr>
              <w:t>between</w:t>
            </w:r>
          </w:p>
        </w:tc>
      </w:tr>
      <w:tr>
        <w:tc>
          <w:tcPr>
            <w:tcW w:type="dxa" w:w="4844"/>
          </w:tcPr>
          <w:p>
            <w:r/>
            <w:r>
              <w:rPr>
                <w:b w:val="0"/>
                <w:sz w:val="20"/>
              </w:rPr>
              <w:t>(1) Sonnenglas Solartechnologie UG (haftungsbeschränkt)</w:t>
              <w:br/>
              <w:t>Geschäftsanschrift: Musterstraße 12, 10115 Berlin</w:t>
              <w:br/>
              <w:t>eingetragen im Handelsregister des Amtsgerichts Charlottenburg unter HRB 123456 B,</w:t>
              <w:br/>
              <w:t>vertreten durch ihre alleinvertretungsberechtigte Geschäftsführerin Dr. Mira Schoeneck,</w:t>
              <w:br/>
              <w:t>– nachstehend die „Gesellschaft" –</w:t>
            </w:r>
          </w:p>
        </w:tc>
        <w:tc>
          <w:tcPr>
            <w:tcW w:type="dxa" w:w="4844"/>
          </w:tcPr>
          <w:p>
            <w:r/>
            <w:r>
              <w:rPr>
                <w:b w:val="0"/>
                <w:sz w:val="20"/>
              </w:rPr>
              <w:t>(1) Sonnenglas Solartechnologie UG (haftungsbeschränkt)</w:t>
              <w:br/>
              <w:t>Business address: Musterstraße 12, 10115 Berlin</w:t>
              <w:br/>
              <w:t>registered with the commercial register of the local court (Amtsgericht) Charlottenburg under HRB 123456 B,</w:t>
              <w:br/>
              <w:t>represented by its managing director with sole power of representation Dr. Mira Schoeneck,</w:t>
              <w:br/>
              <w:t>– hereinafter the "Company" –</w:t>
            </w:r>
          </w:p>
        </w:tc>
      </w:tr>
      <w:tr>
        <w:tc>
          <w:tcPr>
            <w:tcW w:type="dxa" w:w="4844"/>
          </w:tcPr>
          <w:p>
            <w:r/>
            <w:r>
              <w:rPr>
                <w:b w:val="0"/>
                <w:sz w:val="20"/>
              </w:rPr>
              <w:t>(2) Dr. Mira Schoeneck</w:t>
              <w:br/>
              <w:t>Wohnanschrift: Musterstraße 12, 10115 Berlin</w:t>
              <w:br/>
              <w:t>– nachstehend die „Gesellschafterin 1" –</w:t>
            </w:r>
          </w:p>
        </w:tc>
        <w:tc>
          <w:tcPr>
            <w:tcW w:type="dxa" w:w="4844"/>
          </w:tcPr>
          <w:p>
            <w:r/>
            <w:r>
              <w:rPr>
                <w:b w:val="0"/>
                <w:sz w:val="20"/>
              </w:rPr>
              <w:t>(2) Dr. Mira Schoeneck</w:t>
              <w:br/>
              <w:t>Private address: Musterstraße 12, 10115 Berlin</w:t>
              <w:br/>
              <w:t>– hereinafter "Shareholder 1" –</w:t>
            </w:r>
          </w:p>
        </w:tc>
      </w:tr>
      <w:tr>
        <w:tc>
          <w:tcPr>
            <w:tcW w:type="dxa" w:w="4844"/>
          </w:tcPr>
          <w:p>
            <w:r/>
            <w:r>
              <w:rPr>
                <w:b w:val="0"/>
                <w:sz w:val="20"/>
              </w:rPr>
              <w:t>(3) Lina Habersaat</w:t>
              <w:br/>
              <w:t>Wohnanschrift: Beispielweg 5, 20095 Hamburg</w:t>
              <w:br/>
              <w:t>– nachstehend die „Gesellschafterin 2" –</w:t>
              <w:br/>
              <w:t>– Gesellschafterin 1 und Gesellschafterin 2 gemeinsam die „Gesellschafterinnen" –</w:t>
            </w:r>
          </w:p>
        </w:tc>
        <w:tc>
          <w:tcPr>
            <w:tcW w:type="dxa" w:w="4844"/>
          </w:tcPr>
          <w:p>
            <w:r/>
            <w:r>
              <w:rPr>
                <w:b w:val="0"/>
                <w:sz w:val="20"/>
              </w:rPr>
              <w:t>(3) Lina Habersaat</w:t>
              <w:br/>
              <w:t>Private address: Beispielweg 5, 20095 Hamburg</w:t>
              <w:br/>
              <w:t>– hereinafter "Shareholder 2" –</w:t>
              <w:br/>
              <w:t>– Shareholder 1 and Shareholder 2 jointly the "Shareholders" –</w:t>
            </w:r>
          </w:p>
        </w:tc>
      </w:tr>
      <w:tr>
        <w:tc>
          <w:tcPr>
            <w:tcW w:type="dxa" w:w="4844"/>
          </w:tcPr>
          <w:p>
            <w:r/>
            <w:r>
              <w:rPr>
                <w:b w:val="0"/>
                <w:sz w:val="20"/>
              </w:rPr>
              <w:t>(4) Northstar Pre-Seed Partners GmbH &amp; Co. KG</w:t>
              <w:br/>
              <w:t>Geschäftsanschrift: Venture-Allee 1, 60329 Frankfurt am Main</w:t>
              <w:br/>
              <w:t>eingetragen im Handelsregister des Amtsgerichts Frankfurt am Main unter HRA 99999,</w:t>
              <w:br/>
              <w:t>vertreten durch ihre Komplementärin Northstar Management GmbH,</w:t>
              <w:br/>
              <w:t>– nachstehend der „Darlehensgeber" –</w:t>
              <w:br/>
              <w:t>– die Gesellschaft, die Gesellschafterinnen und der Darlehensgeber jeweils eine „Partei" und gemeinsam die „Parteien" –</w:t>
            </w:r>
          </w:p>
        </w:tc>
        <w:tc>
          <w:tcPr>
            <w:tcW w:type="dxa" w:w="4844"/>
          </w:tcPr>
          <w:p>
            <w:r/>
            <w:r>
              <w:rPr>
                <w:b w:val="0"/>
                <w:sz w:val="20"/>
              </w:rPr>
              <w:t>(4) Northstar Pre-Seed Partners GmbH &amp; Co. KG</w:t>
              <w:br/>
              <w:t>Business address: Venture-Allee 1, 60329 Frankfurt am Main</w:t>
              <w:br/>
              <w:t>registered with the commercial register of the local court of Frankfurt am Main under HRA 99999,</w:t>
              <w:br/>
              <w:t>represented by its general partner Northstar Management GmbH,</w:t>
              <w:br/>
              <w:t>– hereinafter the "Lender" –</w:t>
              <w:br/>
              <w:t>– the Company, the Shareholders and the Lender each a "Party" and together the "Parties" –</w:t>
            </w:r>
          </w:p>
        </w:tc>
      </w:tr>
      <w:tr>
        <w:tc>
          <w:tcPr>
            <w:tcW w:type="dxa" w:w="4844"/>
            <w:shd w:val="clear" w:color="auto" w:fill="E8F0FE"/>
          </w:tcPr>
          <w:p>
            <w:r/>
            <w:r>
              <w:rPr>
                <w:b/>
                <w:sz w:val="22"/>
              </w:rPr>
              <w:t>§ 0  Präambel</w:t>
            </w:r>
          </w:p>
        </w:tc>
        <w:tc>
          <w:tcPr>
            <w:tcW w:type="dxa" w:w="4844"/>
            <w:shd w:val="clear" w:color="auto" w:fill="E8F0FE"/>
          </w:tcPr>
          <w:p>
            <w:r/>
            <w:r>
              <w:rPr>
                <w:b/>
                <w:sz w:val="22"/>
              </w:rPr>
              <w:t>Section 0  Preamble</w:t>
            </w:r>
          </w:p>
        </w:tc>
      </w:tr>
      <w:tr>
        <w:tc>
          <w:tcPr>
            <w:tcW w:type="dxa" w:w="4844"/>
          </w:tcPr>
          <w:p>
            <w:r/>
            <w:r>
              <w:rPr>
                <w:b w:val="0"/>
                <w:sz w:val="20"/>
              </w:rPr>
              <w:t>(A)</w:t>
              <w:tab/>
              <w:t>Die Gesellschaft ist eine im Handelsregister des Amtsgerichts Charlottenburg unter HRB 123456 B eingetragene Unternehmergesellschaft (haftungsbeschränkt) deutschen Rechts. Das Stammkapital der Gesellschaft beträgt EUR 1.000 (eintausend Euro), eingeteilt in 100 Geschäftsanteile mit einem Nennbetrag von je EUR 1,00. Die Gesellschafterinnen Dr. Mira Schoeneck (40 Anteile) und Lina Habersaat (35 Anteile) sowie die Gesellschaft selbst (25 eigene Anteile, Treasury) halten die Gesamtheit der Geschäftsanteile.</w:t>
              <w:br/>
              <w:t>(B)</w:t>
              <w:tab/>
              <w:t>Gegenstand der Gesellschaft ist die Entwicklung und der Vertrieb von Steuerungssoftware für Photovoltaik-Kleinanlagen sowie damit zusammenhängende Beratungsdienstleistungen.</w:t>
              <w:br/>
              <w:t>(C)</w:t>
              <w:tab/>
              <w:t>Die Gesellschaft beabsichtigt, ihre operative Geschäftstätigkeit weiterzuentwickeln und plant eine qualifizierte Seed-Finanzierungsrunde für das erste Quartal 2027 (angestrebte Pre-Money-Bewertung: EUR 5 bis 8 Millionen). Zur Überbrückungsfinanzierung bis zur Seed-Runde benötigt die Gesellschaft zusätzliche liquide Mittel. Der Darlehensgeber ist bereit, der Gesellschaft die in diesem Vertrag vereinbarten Mittel im Wege eines Wandeldarlehens zur Verfügung zu stellen.</w:t>
              <w:br/>
              <w:t>(D)</w:t>
              <w:tab/>
              <w:t>Das Darlehen soll einschließlich der aufgelaufenen Zinsen ganz oder teilweise in Eigenkapital der Gesellschaft umgewandelt werden, sobald eines der in § 4 definierten Wandlungsereignisse eintritt. Die Parteien beabsichtigen die zweistufige Konstruktion: Das Wandeldarlehen selbst begründet nur eine schuldrechtliche Verpflichtung; die dingliche Umsetzung erfolgt durch notariell beurkundete Kapitalerhöhung und Übernahmeerklärung (§ 55 Abs. 2 GmbHG).</w:t>
            </w:r>
          </w:p>
        </w:tc>
        <w:tc>
          <w:tcPr>
            <w:tcW w:type="dxa" w:w="4844"/>
          </w:tcPr>
          <w:p>
            <w:r/>
            <w:r>
              <w:rPr>
                <w:b w:val="0"/>
                <w:sz w:val="20"/>
              </w:rPr>
              <w:t>(A)</w:t>
              <w:tab/>
              <w:t>The Company is an entrepreneurial company with limited liability (Unternehmergesellschaft (haftungsbeschränkt)) under German law, registered with the commercial register of the local court (Amtsgericht) Charlottenburg under HRB 123456 B. The share capital (Stammkapital) amounts to EUR 1,000 (one thousand euros), divided into 100 shares (Geschäftsanteile) with a nominal value of EUR 1.00 each. Shareholders Dr. Mira Schoeneck (40 shares), Lina Habersaat (35 shares) and the Company itself (25 treasury shares) hold all shares in aggregate.</w:t>
              <w:br/>
              <w:t>(B)</w:t>
              <w:tab/>
              <w:t>The Company's business object is the development and distribution of control software for small-scale photovoltaic systems and related consulting services.</w:t>
              <w:br/>
              <w:t>(C)</w:t>
              <w:tab/>
              <w:t>The Company intends to further develop its operative business and plans a qualified seed financing round in Q1 2027 (target pre-money valuation: EUR 5 to 8 million). To bridge the period until the Seed Round, the Company requires additional liquid funds. The Lender is willing to make the funds set out in this Agreement available to the Company by way of a convertible loan.</w:t>
              <w:br/>
              <w:t>(D)</w:t>
              <w:tab/>
              <w:t>The Loan, together with accrued interest, is intended to be converted in whole or in part into equity of the Company upon the occurrence of any Conversion Event defined in Section 4. The Parties intend a two-step structure: the convertible loan itself creates only a contractual obligation; the proprietary implementation shall be effected by notarially executed capital increase and subscription declaration (Section 55 (2) GmbHG).</w:t>
            </w:r>
          </w:p>
        </w:tc>
      </w:tr>
      <w:tr>
        <w:tc>
          <w:tcPr>
            <w:tcW w:type="dxa" w:w="4844"/>
            <w:shd w:val="clear" w:color="auto" w:fill="E8F0FE"/>
          </w:tcPr>
          <w:p>
            <w:r/>
            <w:r>
              <w:rPr>
                <w:b/>
                <w:sz w:val="22"/>
              </w:rPr>
              <w:t>§ 1  Darlehensgewährung und Auszahlung</w:t>
            </w:r>
          </w:p>
        </w:tc>
        <w:tc>
          <w:tcPr>
            <w:tcW w:type="dxa" w:w="4844"/>
            <w:shd w:val="clear" w:color="auto" w:fill="E8F0FE"/>
          </w:tcPr>
          <w:p>
            <w:r/>
            <w:r>
              <w:rPr>
                <w:b/>
                <w:sz w:val="22"/>
              </w:rPr>
              <w:t>Section 1  Grant and Disbursement of the Loan</w:t>
            </w:r>
          </w:p>
        </w:tc>
      </w:tr>
      <w:tr>
        <w:tc>
          <w:tcPr>
            <w:tcW w:type="dxa" w:w="4844"/>
          </w:tcPr>
          <w:p>
            <w:r/>
            <w:r>
              <w:rPr>
                <w:b w:val="0"/>
                <w:sz w:val="20"/>
              </w:rPr>
              <w:t>1.1</w:t>
              <w:tab/>
              <w:t>Der Darlehensgeber gewährt der Gesellschaft hiermit ein Darlehen in Höhe von EUR 250.000 (in Worten: zweihundertfünfzigtausend Euro) (das „Darlehen"). Die Gesellschaft nimmt das Darlehen zu den Bedingungen dieses Vertrages an.</w:t>
              <w:br/>
              <w:t>1.2</w:t>
              <w:tab/>
              <w:t>Das Darlehen ist innerhalb von sieben (7) deutschen Bankarbeitstagen nach vollständiger Unterzeichnung dieses Vertrages durch alle Parteien zur Auszahlung fällig. Die Auszahlung erfolgt in voller Höhe, in EUR und kosten- sowie gebührenfrei durch Überweisung auf folgendes Konto der Gesellschaft:</w:t>
              <w:br/>
              <w:t>Kontoinhaber:</w:t>
              <w:tab/>
              <w:t>Sonnenglas Solartechnologie UG (haftungsbeschränkt)</w:t>
              <w:br/>
              <w:t>Kreditinstitut:</w:t>
              <w:tab/>
              <w:t>Musterbank AG</w:t>
              <w:br/>
              <w:t>IBAN:</w:t>
              <w:tab/>
              <w:t>DE89 3704 0044 0532 0130 00</w:t>
              <w:br/>
              <w:t>BIC:</w:t>
              <w:tab/>
              <w:t>COBADEFFXXX</w:t>
              <w:br/>
              <w:t>Verwendungszweck:</w:t>
              <w:tab/>
              <w:t>Wandeldarlehen Northstar</w:t>
              <w:br/>
              <w:t>1.3</w:t>
              <w:tab/>
              <w:t>Die Auszahlung erfolgt vorbehaltlich etwaiger aufschiebender Bedingungen aus dem Term Sheet vom [Datum]. Liegen solche nicht vor, sind sie für die Auszahlung unbeachtlich.</w:t>
            </w:r>
          </w:p>
        </w:tc>
        <w:tc>
          <w:tcPr>
            <w:tcW w:type="dxa" w:w="4844"/>
          </w:tcPr>
          <w:p>
            <w:r/>
            <w:r>
              <w:rPr>
                <w:b w:val="0"/>
                <w:sz w:val="20"/>
              </w:rPr>
              <w:t>1.1</w:t>
              <w:tab/>
              <w:t>The Lender hereby grants the Company a loan in the amount of EUR 250,000 (in words: two hundred and fifty thousand euros) (the "Loan"). The Company accepts the Loan subject to the terms and conditions of this Agreement.</w:t>
              <w:br/>
              <w:t>1.2</w:t>
              <w:tab/>
              <w:t>The Loan shall be disbursed within seven (7) German banking days after due execution of this Agreement by all Parties. Disbursement shall be made in full, in EUR and free of any costs or fees, by wire transfer to the following account of the Company:</w:t>
              <w:br/>
              <w:t>Account holder:</w:t>
              <w:tab/>
              <w:t>Sonnenglas Solartechnologie UG (haftungsbeschränkt)</w:t>
              <w:br/>
              <w:t>Bank:</w:t>
              <w:tab/>
              <w:t>Musterbank AG</w:t>
              <w:br/>
              <w:t>IBAN:</w:t>
              <w:tab/>
              <w:t>DE89 3704 0044 0532 0130 00</w:t>
              <w:br/>
              <w:t>BIC:</w:t>
              <w:tab/>
              <w:t>COBADEFFXXX</w:t>
              <w:br/>
              <w:t>Reference:</w:t>
              <w:tab/>
              <w:t>Convertible Loan Northstar</w:t>
              <w:br/>
              <w:t>1.3</w:t>
              <w:tab/>
              <w:t>Disbursement is subject to any conditions precedent set out in the term sheet dated [Date]. If no such conditions apply, they shall be irrelevant for the disbursement.</w:t>
            </w:r>
          </w:p>
        </w:tc>
      </w:tr>
      <w:tr>
        <w:tc>
          <w:tcPr>
            <w:tcW w:type="dxa" w:w="4844"/>
            <w:shd w:val="clear" w:color="auto" w:fill="E8F0FE"/>
          </w:tcPr>
          <w:p>
            <w:r/>
            <w:r>
              <w:rPr>
                <w:b/>
                <w:sz w:val="22"/>
              </w:rPr>
              <w:t>§ 2  Laufzeit und Rückzahlung</w:t>
            </w:r>
          </w:p>
        </w:tc>
        <w:tc>
          <w:tcPr>
            <w:tcW w:type="dxa" w:w="4844"/>
            <w:shd w:val="clear" w:color="auto" w:fill="E8F0FE"/>
          </w:tcPr>
          <w:p>
            <w:r/>
            <w:r>
              <w:rPr>
                <w:b/>
                <w:sz w:val="22"/>
              </w:rPr>
              <w:t>Section 2  Term and Repayment</w:t>
            </w:r>
          </w:p>
        </w:tc>
      </w:tr>
      <w:tr>
        <w:tc>
          <w:tcPr>
            <w:tcW w:type="dxa" w:w="4844"/>
          </w:tcPr>
          <w:p>
            <w:r/>
            <w:r>
              <w:rPr>
                <w:b w:val="0"/>
                <w:sz w:val="20"/>
              </w:rPr>
              <w:t>2.1</w:t>
              <w:tab/>
              <w:t>Dieser Vertrag hat eine feste Laufzeit von zwei (2) Jahren ab vollständiger Unterzeichnung durch alle Parteien (die „Feste Laufzeit") und endet mit Ablauf der Festen Laufzeit, ohne dass es einer Kündigung bedarf.</w:t>
              <w:br/>
              <w:t>2.2</w:t>
              <w:tab/>
              <w:t>Vorbehaltlich der Regelungen in § 6 (qualifizierter Rangrücktritt) und einer Wandlung nach § 4 sind das Darlehen und die aufgelaufenen Zinsen am Tag nach (i) dem Ablauf der Festen Laufzeit oder (ii) einer wirksamen Kündigung aus wichtigem Grund zur Rückzahlung fällig.</w:t>
              <w:br/>
              <w:t>2.3</w:t>
              <w:tab/>
              <w:t>Eine ordentliche Kündigung ist für alle Parteien ausgeschlossen. Das Recht des Darlehensgebers zur außerordentlichen Kündigung wegen Vermögensverschlechterung gemäß § 490 Abs. 1 BGB ist ausgeschlossen.</w:t>
              <w:br/>
              <w:t>2.4</w:t>
              <w:tab/>
              <w:t>Das Recht zur Kündigung aus wichtigem Grund (§ 314 BGB) bleibt unberührt.</w:t>
            </w:r>
          </w:p>
        </w:tc>
        <w:tc>
          <w:tcPr>
            <w:tcW w:type="dxa" w:w="4844"/>
          </w:tcPr>
          <w:p>
            <w:r/>
            <w:r>
              <w:rPr>
                <w:b w:val="0"/>
                <w:sz w:val="20"/>
              </w:rPr>
              <w:t>2.1</w:t>
              <w:tab/>
              <w:t>This Agreement has a fixed term of two (2) years from the date of due execution by all Parties (the "Fixed Term") and shall expire upon the end of the Fixed Term without any termination being required.</w:t>
              <w:br/>
              <w:t>2.2</w:t>
              <w:tab/>
              <w:t>Subject to Section 6 (qualified subordination) and conversion pursuant to Section 4, the Loan and accrued interest shall fall due for repayment on the day after (i) expiry of the Fixed Term or (ii) effective termination for cause.</w:t>
              <w:br/>
              <w:t>2.3</w:t>
              <w:tab/>
              <w:t>Ordinary termination prior to expiry of the Fixed Term is excluded for all Parties. The Lender's right to extraordinary termination due to deterioration of the Company's financial situation pursuant to Section 490 (1) BGB is excluded.</w:t>
              <w:br/>
              <w:t>2.4</w:t>
              <w:tab/>
              <w:t>The right to termination for cause (Section 314 BGB) remains unaffected.</w:t>
            </w:r>
          </w:p>
        </w:tc>
      </w:tr>
      <w:tr>
        <w:tc>
          <w:tcPr>
            <w:tcW w:type="dxa" w:w="4844"/>
            <w:shd w:val="clear" w:color="auto" w:fill="E8F0FE"/>
          </w:tcPr>
          <w:p>
            <w:r/>
            <w:r>
              <w:rPr>
                <w:b/>
                <w:sz w:val="22"/>
              </w:rPr>
              <w:t>§ 3  Verzinsung</w:t>
            </w:r>
          </w:p>
        </w:tc>
        <w:tc>
          <w:tcPr>
            <w:tcW w:type="dxa" w:w="4844"/>
            <w:shd w:val="clear" w:color="auto" w:fill="E8F0FE"/>
          </w:tcPr>
          <w:p>
            <w:r/>
            <w:r>
              <w:rPr>
                <w:b/>
                <w:sz w:val="22"/>
              </w:rPr>
              <w:t>Section 3  Interest</w:t>
            </w:r>
          </w:p>
        </w:tc>
      </w:tr>
      <w:tr>
        <w:tc>
          <w:tcPr>
            <w:tcW w:type="dxa" w:w="4844"/>
          </w:tcPr>
          <w:p>
            <w:r/>
            <w:r>
              <w:rPr>
                <w:b w:val="0"/>
                <w:sz w:val="20"/>
              </w:rPr>
              <w:t>3.1</w:t>
              <w:tab/>
              <w:t>Das Darlehen ist ab dem Tag der Auszahlung mit 5,0 % p. a. zu verzinsen. Die Zinsen werden pro rata temporis berechnet; dabei werden die tatsächlich abgelaufenen Zinstage zugrunde gelegt und durch 360 geteilt (act/360).</w:t>
              <w:br/>
              <w:t>3.2</w:t>
              <w:tab/>
              <w:t>Die Zinsen fallen während der gesamten Laufzeit an und sind im Fall der Rückzahlung gemeinsam mit dem Darlehensbetrag fällig. Im Fall der Wandlung werden die aufgelaufenen Zinsen Bestandteil der Wandlungssumme.</w:t>
              <w:br/>
              <w:t>3.3</w:t>
              <w:tab/>
              <w:t>Eine unterjährige Zahlung von Zinsen erfolgt nicht. Die Verzinsung steht unter dem Vorbehalt des qualifizierten Rangrücktritts gemäß § 6.</w:t>
            </w:r>
          </w:p>
        </w:tc>
        <w:tc>
          <w:tcPr>
            <w:tcW w:type="dxa" w:w="4844"/>
          </w:tcPr>
          <w:p>
            <w:r/>
            <w:r>
              <w:rPr>
                <w:b w:val="0"/>
                <w:sz w:val="20"/>
              </w:rPr>
              <w:t>3.1</w:t>
              <w:tab/>
              <w:t>The Loan shall bear interest from the date of disbursement at a rate of 5.0 % p.a. Interest shall be calculated pro rata temporis on the basis of the actual number of days elapsed divided by 360 (act/360).</w:t>
              <w:br/>
              <w:t>3.2</w:t>
              <w:tab/>
              <w:t>Interest shall accrue throughout the entire term and shall fall due together with the principal in case of repayment. In case of conversion, accrued interest shall form part of the conversion amount.</w:t>
              <w:br/>
              <w:t>3.3</w:t>
              <w:tab/>
              <w:t>No interim payments of interest shall be made. Interest is subject to the qualified subordination set out in Section 6.</w:t>
            </w:r>
          </w:p>
        </w:tc>
      </w:tr>
      <w:tr>
        <w:tc>
          <w:tcPr>
            <w:tcW w:type="dxa" w:w="4844"/>
            <w:shd w:val="clear" w:color="auto" w:fill="E8F0FE"/>
          </w:tcPr>
          <w:p>
            <w:r/>
            <w:r>
              <w:rPr>
                <w:b/>
                <w:sz w:val="22"/>
              </w:rPr>
              <w:t>§ 4  Wandlung</w:t>
            </w:r>
          </w:p>
        </w:tc>
        <w:tc>
          <w:tcPr>
            <w:tcW w:type="dxa" w:w="4844"/>
            <w:shd w:val="clear" w:color="auto" w:fill="E8F0FE"/>
          </w:tcPr>
          <w:p>
            <w:r/>
            <w:r>
              <w:rPr>
                <w:b/>
                <w:sz w:val="22"/>
              </w:rPr>
              <w:t>Section 4  Conversion</w:t>
            </w:r>
          </w:p>
        </w:tc>
      </w:tr>
      <w:tr>
        <w:tc>
          <w:tcPr>
            <w:tcW w:type="dxa" w:w="4844"/>
          </w:tcPr>
          <w:p>
            <w:r/>
            <w:r>
              <w:rPr>
                <w:b w:val="0"/>
                <w:sz w:val="20"/>
              </w:rPr>
              <w:t>4.1</w:t>
              <w:tab/>
              <w:t>Der Darlehensgeber ist berechtigt, auf einseitige Erklärung in Textform gegenüber der Gesellschaft die Wandlung des Darlehens nebst aufgelaufener Zinsen in Geschäftsanteile der Gesellschaft zu verlangen (die „Wandlungsoption"). Die Wandlung kann nur einheitlich für den gesamten zum Zeitpunkt der Ausübung offenen Betrag (Darlehensvaluta zuzüglich aufgelaufener Zinsen, zusammen die „Wandlungssumme") ausgeübt werden.</w:t>
              <w:br/>
              <w:br/>
              <w:t>4.2</w:t>
              <w:tab/>
              <w:t>Die Wandlung setzt den Eintritt eines der folgenden Ereignisse voraus (jeweils ein „Wandlungsereignis"):</w:t>
              <w:br/>
              <w:t>(a)</w:t>
              <w:tab/>
              <w:t>Qualified Financing: ein Beschluss der Gesellschafterversammlung über eine Barkapitalerhöhung, durch die der Gesellschaft – ohne Berücksichtigung der Wandlung dieses Wandeldarlehens – frisches Eigenkapital in Höhe von mindestens EUR 500.000 (fünfhundert­tausend Euro) zugeführt wird, und bei der die dieser Finanzierungsrunde zugrunde liegende Pre-Money-Bewertung mindestens EUR 4.000.000 (vier Millionen Euro) beträgt;</w:t>
              <w:br/>
              <w:t>(b)</w:t>
              <w:tab/>
              <w:t>Exit – Share Deal: Abschluss eines Vertrages über die Veräußerung von Geschäftsanteilen, die zusammen mehr als 50 % des Gesellschaftskapitals ausmachen;</w:t>
              <w:br/>
              <w:t>(c)</w:t>
              <w:tab/>
              <w:t>Exit – Asset Deal: Abschluss eines Vertrages über die Veräußerung von Vermögensgegenständen mit mehr als 50 % des Aktivvermögens (Verkehrswert) oder eine wirtschaftlich vergleichbare Maßnahme;</w:t>
              <w:br/>
              <w:t>(d)</w:t>
              <w:tab/>
              <w:t>Fusion / IPO: Beschluss über Verschmelzung oder Börsengang, der dazu führt, dass die bisherigen Gesellschafterinnen weniger als 50 % halten;</w:t>
              <w:br/>
              <w:t>(e)</w:t>
              <w:tab/>
              <w:t>Maturity: Ablauf der Festen Laufzeit (§ 2.1).</w:t>
              <w:br/>
              <w:br/>
              <w:t>4.3</w:t>
              <w:tab/>
              <w:t>Die Gesellschaft informiert den Darlehensgeber spätestens zwei (2) Wochen vor Durchführung eines Wandlungsereignisses in Textform (die „Wandlungsmitteilung") unter Angabe von: (i) Namen der Investoren, (ii) Pre-Money-Bewertung, (iii) Investitionsvolumen, (iv) Anzahl und Gattung neuer Geschäftsanteile.</w:t>
              <w:br/>
              <w:br/>
              <w:t>4.4</w:t>
              <w:tab/>
              <w:t>Die Wandlungsoption ist per Textform gegenüber der Gesellschaft innerhalb von einem (1) Monat nach Zugang der Wandlungsmitteilung auszuüben. Wird sie nicht fristgerecht ausgeübt, gilt sie für das betreffende Wandlungsereignis als nicht ausgeübt; spätere Wandlungsereignisse bleiben unberührt.</w:t>
              <w:br/>
              <w:br/>
              <w:t>4.5</w:t>
              <w:tab/>
              <w:t>Wandlungspreis. Der Wandlungspreis je neuem Geschäftsanteil ergibt sich aus dem Minimum der folgenden drei Werte:</w:t>
              <w:br/>
              <w:t>(A) Rundenpreis: Pre-Money-Bewertung der Runde / vollverwässerte Anteile vor Kapitalerhöhung;</w:t>
              <w:br/>
              <w:t>(B) Discount-Preis: (1 − 20 %) × Pre-Money-Bewertung / vollverwässerte Anteile;</w:t>
              <w:br/>
              <w:t>(C) Cap-Preis: EUR 4.000.000 / vollverwässerte Anteile.</w:t>
              <w:br/>
              <w:t>Wandlungspreis = MIN(A; B; C).</w:t>
              <w:br/>
              <w:t>Anzahl neue Anteile = Wandlungssumme / Wandlungspreis (auf nächsten ganzen Anteil à EUR 1,00 aufrunden, § 5 Abs. 1 GmbHG).</w:t>
              <w:br/>
              <w:br/>
              <w:t>4.6</w:t>
              <w:tab/>
              <w:t>Bruchteile von Geschäftsanteilen werden auf den nächsten ganzen Nennwert-Euro aufgerundet (§ 5 Abs. 1 GmbHG).</w:t>
              <w:br/>
              <w:br/>
              <w:t>4.7</w:t>
              <w:tab/>
              <w:t>Most-Favoured-Nation. Falls die Gesellschaft vor dem Qualified Financing ein weiteres Wandeldarlehen oder nachrangiges Darlehen mit für den jeweiligen Darlehensgeber günstigeren Konditionen (insbesondere niedrigerem Cap oder höherem Discount) aufnimmt, sind diese günstigeren Konditionen dem Darlehensgeber automatisch einzuräumen.</w:t>
              <w:br/>
              <w:br/>
              <w:t>4.8</w:t>
              <w:tab/>
              <w:t>Pro-rata-Recht. Der Darlehensgeber hat das Recht, im Rahmen des Qualified Financing einen zusätzlichen Barbetrag in Höhe von bis zu seinem prozentualen Anteil an der Wandlungssumme bezogen auf das Gesamtinvestitionsvolumen zu investieren (Pro-rata-Recht), zu den gleichen Bedingungen wie die anderen Investoren.</w:t>
              <w:br/>
              <w:br/>
              <w:t>4.9</w:t>
              <w:tab/>
              <w:t>Im Liquidation Event nach § 4.2 (b) bis (d) hat der Darlehensgeber das Wahlrecht, statt der Wandlung die Rückzahlung des Darlehensbetrags zuzüglich aufgelaufener Zinsen (ohne Aufschlag) zu verlangen (Liquidationspräferenz 1x non-participating). Das Wahlrecht ist per Textform innerhalb von zwei (2) Wochen nach Zugang der Wandlungsmitteilung auszuüben.</w:t>
              <w:br/>
              <w:br/>
              <w:t>4.10</w:t>
              <w:tab/>
              <w:t>Fall-back bei Maturity. Tritt innerhalb der Festen Laufzeit kein Wandlungsereignis nach § 4.2 (a) bis (d) ein, erfolgt die Wandlung mit Ablauf der Festen Laufzeit auf Grundlage einer Pre-Money-Bewertung von EUR 4.000.000 (vier Millionen Euro).</w:t>
            </w:r>
          </w:p>
        </w:tc>
        <w:tc>
          <w:tcPr>
            <w:tcW w:type="dxa" w:w="4844"/>
          </w:tcPr>
          <w:p>
            <w:r/>
            <w:r>
              <w:rPr>
                <w:b w:val="0"/>
                <w:sz w:val="20"/>
              </w:rPr>
              <w:t>4.1</w:t>
              <w:tab/>
              <w:t>The Lender is entitled to demand, by unilateral declaration in text form addressed to the Company, the conversion of the Loan including accrued interest into shares of the Company (the "Conversion Option"). The conversion may only be exercised in respect of the entire outstanding amount (principal plus accrued interest, together the "Conversion Amount").</w:t>
              <w:br/>
              <w:br/>
              <w:t>4.2</w:t>
              <w:tab/>
              <w:t>Conversion is conditional upon the occurrence of one of the following events (each a "Conversion Event"):</w:t>
              <w:br/>
              <w:t>(a)</w:t>
              <w:tab/>
              <w:t>Qualified Financing: a shareholders' resolution on a cash capital increase by which fresh equity of at least EUR 500,000 (five hundred thousand euros) is contributed to the Company (not counting this Loan), and in which the pre-money valuation underlying the Financing Round is at least EUR 4,000,000 (four million euros);</w:t>
              <w:br/>
              <w:t>(b)</w:t>
              <w:tab/>
              <w:t>Exit – Share Deal: conclusion of an agreement on the transfer of shares representing more than 50% of the share capital;</w:t>
              <w:br/>
              <w:t>(c)</w:t>
              <w:tab/>
              <w:t>Exit – Asset Deal: conclusion of an agreement on the disposal of assets representing more than 50% of total assets (fair market value) or any economically comparable measure;</w:t>
              <w:br/>
              <w:t>(d)</w:t>
              <w:tab/>
              <w:t>Merger / IPO: resolution on a merger or IPO that results in the existing Shareholders holding less than 50%;</w:t>
              <w:br/>
              <w:t>(e)</w:t>
              <w:tab/>
              <w:t>Maturity: expiry of the Fixed Term (Section 2.1).</w:t>
              <w:br/>
              <w:br/>
              <w:t>4.3</w:t>
              <w:tab/>
              <w:t>The Company shall notify the Lender in text form at least two (2) weeks prior to implementation of any Conversion Event (the "Conversion Notice"), stating: (i) investor names, (ii) pre-money valuation, (iii) investment volume, (iv) number and class of new shares.</w:t>
              <w:br/>
              <w:br/>
              <w:t>4.4</w:t>
              <w:tab/>
              <w:t>The Conversion Option shall be exercised by declaration in text form addressed to the Company within one (1) month after receipt of the Conversion Notice. If not exercised in time, the right is deemed not exercised for the relevant Conversion Event; later events remain unaffected.</w:t>
              <w:br/>
              <w:br/>
              <w:t>4.5</w:t>
              <w:tab/>
              <w:t>Conversion Price. The conversion price per new share shall be the minimum of the following three values:</w:t>
              <w:br/>
              <w:t>(A) Round Price: pre-money valuation of the Round / fully diluted shares before capital increase;</w:t>
              <w:br/>
              <w:t>(B) Discount Price: (1 − 20%) × pre-money valuation / fully diluted shares;</w:t>
              <w:br/>
              <w:t>(C) Cap Price: EUR 4,000,000 / fully diluted shares.</w:t>
              <w:br/>
              <w:t>Conversion Price = MIN(A; B; C).</w:t>
              <w:br/>
              <w:t>New shares = Conversion Amount / Conversion Price (rounded up to next whole share at EUR 1.00 nominal, Section 5 (1) GmbHG).</w:t>
              <w:br/>
              <w:br/>
              <w:t>4.6</w:t>
              <w:tab/>
              <w:t>Fractions of shares shall be rounded up to the next whole nominal euro (Section 5 (1) GmbHG).</w:t>
              <w:br/>
              <w:br/>
              <w:t>4.7</w:t>
              <w:tab/>
              <w:t>Most-Favoured-Nation. If the Company enters into a further convertible loan or subordinated loan prior to the Qualified Financing granting more favourable conditions to the relevant lender (in particular a lower cap or higher discount), such more favourable conditions shall automatically apply to the Lender.</w:t>
              <w:br/>
              <w:br/>
              <w:t>4.8</w:t>
              <w:tab/>
              <w:t>Pro-rata Right. The Lender has the right to invest an additional cash amount in the Qualified Financing of up to its pro-rata share of the total investment volume (calculated based on the Conversion Amount relative to the aggregate investment), on the same terms as the other investors.</w:t>
              <w:br/>
              <w:br/>
              <w:t>4.9</w:t>
              <w:tab/>
              <w:t>In a Liquidation Event under Section 4.2 (b) to (d), the Lender may, in lieu of conversion, elect to demand repayment of the principal plus accrued interest (without premium) (1x non-participating liquidation preference). The election shall be made by declaration in text form within two (2) weeks after receipt of the Conversion Notice.</w:t>
              <w:br/>
              <w:br/>
              <w:t>4.10</w:t>
              <w:tab/>
              <w:t>Fall-back at Maturity. If no Conversion Event under Section 4.2 (a) to (d) occurs within the Fixed Term, conversion shall take place upon expiry of the Fixed Term on the basis of a pre-money valuation of EUR 4,000,000 (four million euros).</w:t>
            </w:r>
          </w:p>
        </w:tc>
      </w:tr>
      <w:tr>
        <w:tc>
          <w:tcPr>
            <w:tcW w:type="dxa" w:w="4844"/>
            <w:shd w:val="clear" w:color="auto" w:fill="E8F0FE"/>
          </w:tcPr>
          <w:p>
            <w:r/>
            <w:r>
              <w:rPr>
                <w:b/>
                <w:sz w:val="22"/>
              </w:rPr>
              <w:t>§ 5  Mitwirkungspflichten der Gesellschafterinnen</w:t>
            </w:r>
          </w:p>
        </w:tc>
        <w:tc>
          <w:tcPr>
            <w:tcW w:type="dxa" w:w="4844"/>
            <w:shd w:val="clear" w:color="auto" w:fill="E8F0FE"/>
          </w:tcPr>
          <w:p>
            <w:r/>
            <w:r>
              <w:rPr>
                <w:b/>
                <w:sz w:val="22"/>
              </w:rPr>
              <w:t>Section 5  Cooperation Undertakings of the Shareholders</w:t>
            </w:r>
          </w:p>
        </w:tc>
      </w:tr>
      <w:tr>
        <w:tc>
          <w:tcPr>
            <w:tcW w:type="dxa" w:w="4844"/>
          </w:tcPr>
          <w:p>
            <w:r/>
            <w:r>
              <w:rPr>
                <w:b w:val="0"/>
                <w:sz w:val="20"/>
              </w:rPr>
              <w:t>5.1</w:t>
              <w:tab/>
              <w:t>Die Gesellschafterinnen verpflichten sich, mit allen ihnen zur Verfügung stehenden gesellschaftsrechtlichen Mitteln dafür Sorge zu tragen, dass eine wirksam ausgeübte Wandlung gemäß § 4 ordnungsgemäß durchgeführt wird. Sie werden insbesondere (i) an jeder hierfür erforderlichen Gesellschafterversammlung teilnehmen, (ii) alle erforderlichen Beschlüsse fassen, einschließlich der Kapitalerhöhung, der Zulassung des Darlehensgebers und des Bezugsrechtsverzichts, und (iii) alle notariell zu beurkundenden Erklärungen persönlich oder durch Bevollmächtigte abgeben.</w:t>
              <w:br/>
              <w:t>5.2</w:t>
              <w:tab/>
              <w:t>Die Gesellschafterinnen stimmen bereits jetzt einer Übertragung der durch Wandlung ausgegebenen Geschäftsanteile auf mit dem Darlehensgeber verbundene Unternehmen oder von ihm verwaltete Fonds zu.</w:t>
              <w:br/>
              <w:t>5.3</w:t>
              <w:tab/>
              <w:t>Die Gesellschafterinnen verpflichten sich, künftige Gesellschafter zur Beitrittspflicht an diesem Vertrag zu verpflichten.</w:t>
            </w:r>
          </w:p>
        </w:tc>
        <w:tc>
          <w:tcPr>
            <w:tcW w:type="dxa" w:w="4844"/>
          </w:tcPr>
          <w:p>
            <w:r/>
            <w:r>
              <w:rPr>
                <w:b w:val="0"/>
                <w:sz w:val="20"/>
              </w:rPr>
              <w:t>5.1</w:t>
              <w:tab/>
              <w:t>The Shareholders undertake to procure, by all corporate means at their disposal, the proper implementation of any conversion validly exercised pursuant to Section 4. In particular, they shall (i) attend any shareholders' meeting required, (ii) adopt all required resolutions including the capital increase, admission of the Lender and waiver of subscription rights, and (iii) make all declarations subject to notarisation, in person or through authorised representatives.</w:t>
              <w:br/>
              <w:t>5.2</w:t>
              <w:tab/>
              <w:t>The Shareholders hereby already consent to the transfer of conversion shares to entities affiliated with or funds managed by the Lender.</w:t>
              <w:br/>
              <w:t>5.3</w:t>
              <w:tab/>
              <w:t>The Shareholders shall procure that future shareholders are obliged to accede to this Agreement.</w:t>
            </w:r>
          </w:p>
        </w:tc>
      </w:tr>
      <w:tr>
        <w:tc>
          <w:tcPr>
            <w:tcW w:type="dxa" w:w="4844"/>
            <w:shd w:val="clear" w:color="auto" w:fill="E8F0FE"/>
          </w:tcPr>
          <w:p>
            <w:r/>
            <w:r>
              <w:rPr>
                <w:b/>
                <w:sz w:val="22"/>
              </w:rPr>
              <w:t>§ 6  Qualifizierter Rangrücktritt</w:t>
            </w:r>
          </w:p>
        </w:tc>
        <w:tc>
          <w:tcPr>
            <w:tcW w:type="dxa" w:w="4844"/>
            <w:shd w:val="clear" w:color="auto" w:fill="E8F0FE"/>
          </w:tcPr>
          <w:p>
            <w:r/>
            <w:r>
              <w:rPr>
                <w:b/>
                <w:sz w:val="22"/>
              </w:rPr>
              <w:t>Section 6  Qualified Subordination</w:t>
            </w:r>
          </w:p>
        </w:tc>
      </w:tr>
      <w:tr>
        <w:tc>
          <w:tcPr>
            <w:tcW w:type="dxa" w:w="4844"/>
          </w:tcPr>
          <w:p>
            <w:r/>
            <w:r>
              <w:rPr>
                <w:b w:val="0"/>
                <w:sz w:val="20"/>
              </w:rPr>
              <w:t>6.1</w:t>
              <w:tab/>
              <w:t>Nachrang im Insolvenzverfahren. Der Darlehensgeber tritt hiermit mit seinen sämtlichen Ansprüchen aus diesem Vertrag (insbesondere auf Rückzahlung, Zinsen und Schadensersatz, zusammen die „Nachrangforderungen") gemäß § 39 Abs. 2 InsO im Rang hinter sämtliche Forderungen i.S.d. §§ 38, 39 Abs. 1 Nr. 1 bis 5 InsO zurück.</w:t>
              <w:br/>
              <w:t>6.2</w:t>
              <w:tab/>
              <w:t>Vorinsolvenzliche Durchsetzungssperre. Außerhalb eines Insolvenzverfahrens darf der Darlehensgeber Befriedigung der Nachrangforderungen nur aus künftigen Jahresüberschüssen, aus einem Liquidationsüberschuss oder aus sonstigem freien Vermögen verlangen, das die sonstigen Verbindlichkeiten übersteigt, und nur solange und soweit die Erfüllung nicht Zahlungsunfähigkeit (§ 17 InsO) oder Überschuldung (§ 19 InsO) verursacht, vertieft oder droht (vgl. BGH, Urt. v. 5. März 2015 – IX ZR 133/14; Urt. v. 21. September 2017 – IX ZR 191/15).</w:t>
              <w:br/>
              <w:t>6.3</w:t>
              <w:tab/>
              <w:t>Klarstellung. Dieser Rangrücktritt stellt einen qualifizierten Rangrücktritt i.S.d. BGH-Rechtsprechung dar und ist geeignet, die Berücksichtigung der Nachrangforderungen im Überschuldungsstatus gemäß § 19 Abs. 2 Satz 2 InsO zu beseitigen.</w:t>
              <w:br/>
              <w:t>6.4</w:t>
              <w:tab/>
              <w:t>Aufhebungsverbot. Dieser Rangrücktritt ist als echter Vertrag zugunsten Dritter (§ 328 BGB) zugunsten aller Gläubiger i.S.d. §§ 38 / 39 Abs. 1 InsO ausgestaltet. Aufhebung nur mit schriftlicher Zustimmung der Gesellschaft und nur wenn keine Insolvenzreife entsteht.</w:t>
              <w:br/>
              <w:t>6.5</w:t>
              <w:tab/>
              <w:t>§ 15b InsO-Klausel. Rückzahlung ist unzulässig, soweit sie persönliche Haftung der Geschäftsführerinnen nach § 15b InsO auslösen würde. Verbotswidrige Rückzahlungen sind zurückzugewähren.</w:t>
            </w:r>
          </w:p>
        </w:tc>
        <w:tc>
          <w:tcPr>
            <w:tcW w:type="dxa" w:w="4844"/>
          </w:tcPr>
          <w:p>
            <w:r/>
            <w:r>
              <w:rPr>
                <w:b w:val="0"/>
                <w:sz w:val="20"/>
              </w:rPr>
              <w:t>6.1</w:t>
              <w:tab/>
              <w:t>Subordination in insolvency. The Lender hereby subordinates all of its claims under this Agreement (in particular for repayment, interest and damages, together the "Subordinated Claims") pursuant to Section 39 (2) InsO behind all claims of creditors within the meaning of Sections 38 and 39 (1) nos. 1 to 5 InsO.</w:t>
              <w:br/>
              <w:t>6.2</w:t>
              <w:tab/>
              <w:t>Pre-insolvency enforcement restriction. Outside insolvency proceedings, the Lender may only demand satisfaction of Subordinated Claims out of future annual net profits, a liquidation surplus or other free assets exceeding other liabilities, and only to the extent that satisfaction does not cause, deepen or threaten illiquidity (Section 17 InsO) or over-indebtedness (Section 19 InsO) (cf. BGH, judgment of 5 March 2015 – IX ZR 133/14; judgment of 21 September 2017 – IX ZR 191/15).</w:t>
              <w:br/>
              <w:t>6.3</w:t>
              <w:tab/>
              <w:t>Clarification. This subordination constitutes a qualified subordination within the meaning of BGH case law and is capable of excluding Subordinated Claims from the over-indebtedness balance sheet pursuant to Section 19 (2) sentence 2 InsO.</w:t>
              <w:br/>
              <w:t>6.4</w:t>
              <w:tab/>
              <w:t>Prohibition of cancellation. This subordination constitutes a genuine contract for the benefit of third parties (Section 328 BGB) for the benefit of all creditors within the meaning of Sections 38 / 39 (1) InsO. Cancellation requires written consent of the Company and must not cause insolvency.</w:t>
              <w:br/>
              <w:t>6.5</w:t>
              <w:tab/>
              <w:t>Section 15b InsO clause. Repayment is excluded to the extent it would trigger personal liability of the managing directors under Section 15b InsO. Any prohibited repayment shall be returned upon first demand.</w:t>
            </w:r>
          </w:p>
        </w:tc>
      </w:tr>
      <w:tr>
        <w:tc>
          <w:tcPr>
            <w:tcW w:type="dxa" w:w="4844"/>
            <w:shd w:val="clear" w:color="auto" w:fill="E8F0FE"/>
          </w:tcPr>
          <w:p>
            <w:r/>
            <w:r>
              <w:rPr>
                <w:b/>
                <w:sz w:val="22"/>
              </w:rPr>
              <w:t>§ 7  Informationsrechte</w:t>
            </w:r>
          </w:p>
        </w:tc>
        <w:tc>
          <w:tcPr>
            <w:tcW w:type="dxa" w:w="4844"/>
            <w:shd w:val="clear" w:color="auto" w:fill="E8F0FE"/>
          </w:tcPr>
          <w:p>
            <w:r/>
            <w:r>
              <w:rPr>
                <w:b/>
                <w:sz w:val="22"/>
              </w:rPr>
              <w:t>Section 7  Information Rights</w:t>
            </w:r>
          </w:p>
        </w:tc>
      </w:tr>
      <w:tr>
        <w:tc>
          <w:tcPr>
            <w:tcW w:type="dxa" w:w="4844"/>
          </w:tcPr>
          <w:p>
            <w:r/>
            <w:r>
              <w:rPr>
                <w:b w:val="0"/>
                <w:sz w:val="20"/>
              </w:rPr>
              <w:t>7.1</w:t>
              <w:tab/>
              <w:t>Die Gesellschaft erstattet dem Darlehensgeber quartalsmäßig (innerhalb von dreißig Tagen nach Quartalsende) einen schriftlichen Geschäftsführer-Update-Bericht mit wesentlichen Kennzahlen (Umsatz, EBITDA, Liquidität, Personalbestand, Produktmeilensteine).</w:t>
              <w:br/>
              <w:t>7.2</w:t>
              <w:tab/>
              <w:t>Auf Anfrage des Darlehensgebers stellt die Gesellschaft innerhalb von sieben (7) Bankarbeitstagen die aktuelle Cash-Position (Kontoauszüge) zur Verfügung.</w:t>
              <w:br/>
              <w:t>7.3</w:t>
              <w:tab/>
              <w:t>Informationsrechte, die zukünftigen Eigenkapitalgebern eingeräumt werden, stehen dem Darlehensgeber bis zur Wandlung in gleicher Weise zu.</w:t>
            </w:r>
          </w:p>
        </w:tc>
        <w:tc>
          <w:tcPr>
            <w:tcW w:type="dxa" w:w="4844"/>
          </w:tcPr>
          <w:p>
            <w:r/>
            <w:r>
              <w:rPr>
                <w:b w:val="0"/>
                <w:sz w:val="20"/>
              </w:rPr>
              <w:t>7.1</w:t>
              <w:tab/>
              <w:t>The Company shall provide the Lender with a written quarterly management update report (within thirty days after quarter-end) containing material KPIs (revenue, EBITDA, liquidity, headcount, product milestones).</w:t>
              <w:br/>
              <w:t>7.2</w:t>
              <w:tab/>
              <w:t>Upon request by the Lender, the Company shall provide the current cash position (bank statements) within seven (7) banking days.</w:t>
              <w:br/>
              <w:t>7.3</w:t>
              <w:tab/>
              <w:t>Information rights granted to future equity investors shall apply equally to the Lender until conversion.</w:t>
            </w:r>
          </w:p>
        </w:tc>
      </w:tr>
      <w:tr>
        <w:tc>
          <w:tcPr>
            <w:tcW w:type="dxa" w:w="4844"/>
            <w:shd w:val="clear" w:color="auto" w:fill="E8F0FE"/>
          </w:tcPr>
          <w:p>
            <w:r/>
            <w:r>
              <w:rPr>
                <w:b/>
                <w:sz w:val="22"/>
              </w:rPr>
              <w:t>§ 8  Vertraulichkeit</w:t>
            </w:r>
          </w:p>
        </w:tc>
        <w:tc>
          <w:tcPr>
            <w:tcW w:type="dxa" w:w="4844"/>
            <w:shd w:val="clear" w:color="auto" w:fill="E8F0FE"/>
          </w:tcPr>
          <w:p>
            <w:r/>
            <w:r>
              <w:rPr>
                <w:b/>
                <w:sz w:val="22"/>
              </w:rPr>
              <w:t>Section 8  Confidentiality</w:t>
            </w:r>
          </w:p>
        </w:tc>
      </w:tr>
      <w:tr>
        <w:tc>
          <w:tcPr>
            <w:tcW w:type="dxa" w:w="4844"/>
          </w:tcPr>
          <w:p>
            <w:r/>
            <w:r>
              <w:rPr>
                <w:b w:val="0"/>
                <w:sz w:val="20"/>
              </w:rPr>
              <w:t>8.1</w:t>
              <w:tab/>
              <w:t>Die Parteien behandeln sämtliche Informationen im Zusammenhang mit diesem Vertrag streng vertraulich.</w:t>
              <w:br/>
              <w:t>8.2</w:t>
              <w:tab/>
              <w:t>Offenlegung ist zulässig gegenüber: (a) Mitarbeitenden und Beratern mit Verschwiegenheitspflicht; (b) verbundenen Unternehmen; (c) potenziellen Investoren im Rahmen von Folge-Pitches, sofern diese eine NDA unterzeichnet haben; (d) Banken und Finanzierungspartnern; (e) Dritten im Zusammenhang mit Unternehmenstransaktionen (mit NDA + GF-Zustimmung); (f) Gerichten und Schiedsgerichten; (g) Behörden soweit gesetzlich erforderlich; (h) Hinweisgeberinnen (HinSchG).</w:t>
              <w:br/>
              <w:t>8.3</w:t>
              <w:tab/>
              <w:t>Gesetzliche Verschwiegenheitspflichten bleiben unberührt.</w:t>
            </w:r>
          </w:p>
        </w:tc>
        <w:tc>
          <w:tcPr>
            <w:tcW w:type="dxa" w:w="4844"/>
          </w:tcPr>
          <w:p>
            <w:r/>
            <w:r>
              <w:rPr>
                <w:b w:val="0"/>
                <w:sz w:val="20"/>
              </w:rPr>
              <w:t>8.1</w:t>
              <w:tab/>
              <w:t>The Parties shall treat all information in connection with this Agreement strictly confidential.</w:t>
              <w:br/>
              <w:t>8.2</w:t>
              <w:tab/>
              <w:t>Disclosure is permitted to: (a) employees and advisors with confidentiality obligations; (b) affiliated companies; (c) potential investors in follow-on pitches, provided they have signed an NDA; (d) banks and financing partners; (e) third parties in connection with business transactions (with NDA + management consent); (f) courts and arbitral tribunals; (g) authorities to the extent required by law; (h) whistleblowers (HinSchG).</w:t>
              <w:br/>
              <w:t>8.3</w:t>
              <w:tab/>
              <w:t>Statutory confidentiality obligations remain unaffected.</w:t>
            </w:r>
          </w:p>
        </w:tc>
      </w:tr>
      <w:tr>
        <w:tc>
          <w:tcPr>
            <w:tcW w:type="dxa" w:w="4844"/>
            <w:shd w:val="clear" w:color="auto" w:fill="E8F0FE"/>
          </w:tcPr>
          <w:p>
            <w:r/>
            <w:r>
              <w:rPr>
                <w:b/>
                <w:sz w:val="22"/>
              </w:rPr>
              <w:t>§ 9  Form, Beurkundung und Ausfertigung</w:t>
            </w:r>
          </w:p>
        </w:tc>
        <w:tc>
          <w:tcPr>
            <w:tcW w:type="dxa" w:w="4844"/>
            <w:shd w:val="clear" w:color="auto" w:fill="E8F0FE"/>
          </w:tcPr>
          <w:p>
            <w:r/>
            <w:r>
              <w:rPr>
                <w:b/>
                <w:sz w:val="22"/>
              </w:rPr>
              <w:t>Section 9  Form, Notarisation and Execution</w:t>
            </w:r>
          </w:p>
        </w:tc>
      </w:tr>
      <w:tr>
        <w:tc>
          <w:tcPr>
            <w:tcW w:type="dxa" w:w="4844"/>
          </w:tcPr>
          <w:p>
            <w:r/>
            <w:r>
              <w:rPr>
                <w:b w:val="0"/>
                <w:sz w:val="20"/>
              </w:rPr>
              <w:t>9.1</w:t>
              <w:tab/>
              <w:t>Textformausreichung. Dieser Vertrag kann in Textform (§ 126b BGB), insbesondere durch elektronische Signatur (z. B. DocuSign) oder Austausch unterzeichneter PDF-Kopien per E-Mail, abgeschlossen werden.</w:t>
              <w:br/>
              <w:t>9.2</w:t>
              <w:tab/>
              <w:t>Beurkundungspflicht. Die Parteien gehen einvernehmlich davon aus, dass dieser Vertrag selbst keiner notariellen Beurkundung bedarf, da die Wandlung zweistufig konstruiert ist: Die in § 4 vereinbarte Wandlung begründet nur eine schuldrechtliche Verpflichtung; beurkundungspflichtige Erklärungen und Beschlüsse (§ 15 Abs. 3 und 4 GmbHG, § 53 Abs. 2 GmbHG) werden erst im Zuge der späteren Kapitalerhöhung und Übernahme abgegeben.</w:t>
              <w:br/>
              <w:t>9.3</w:t>
              <w:tab/>
              <w:t>Heilungsklausel. Sollte sich entgegen dieser Annahme ergeben, dass dieser Vertrag oder einzelne Klauseln notariell zu beurkunden sind, verpflichten sich die Parteien unwiderruflich, ihn unverzüglich notariell beurkunden zu lassen und alle hierfür erforderlichen Erklärungen abzugeben. Die Kosten trägt die Gesellschaft. Bis zur Beurkundung gelten die Parteien die Verpflichtung als wechselseitiges Versprechen (§ 311 Abs. 1 BGB) und stellen sich wirtschaftlich so, als wäre die Beurkundung bereits wirksam erfolgt.</w:t>
            </w:r>
          </w:p>
        </w:tc>
        <w:tc>
          <w:tcPr>
            <w:tcW w:type="dxa" w:w="4844"/>
          </w:tcPr>
          <w:p>
            <w:r/>
            <w:r>
              <w:rPr>
                <w:b w:val="0"/>
                <w:sz w:val="20"/>
              </w:rPr>
              <w:t>9.1</w:t>
              <w:tab/>
              <w:t>Sufficiency of text form. This Agreement may be executed in text form (Section 126b BGB), in particular by electronic signature (e.g. DocuSign) or by exchange of signed PDF copies by email.</w:t>
              <w:br/>
              <w:t>9.2</w:t>
              <w:tab/>
              <w:t>Notarisation requirement. The Parties mutually assume that this Agreement does not require notarisation, as the conversion is structured in two steps: Section 4 creates only a contractual obligation; declarations and resolutions subject to notarisation (Sections 15 (3) and (4) GmbHG, Section 53 (2) GmbHG) will only be made at the time of the subsequent capital increase and share subscription.</w:t>
              <w:br/>
              <w:t>9.3</w:t>
              <w:tab/>
              <w:t>Cure clause. Should it turn out, contrary to this assumption, that this Agreement or any provisions require notarisation, the Parties irrevocably undertake to have it notarised without undue delay and to make all required declarations. The costs shall be borne by the Company. Until notarisation, the Parties treat the obligation as a mutual promise (Section 311 (1) BGB) and place themselves economically as if the notarisation had already been validly effected.</w:t>
            </w:r>
          </w:p>
        </w:tc>
      </w:tr>
      <w:tr>
        <w:tc>
          <w:tcPr>
            <w:tcW w:type="dxa" w:w="4844"/>
            <w:shd w:val="clear" w:color="auto" w:fill="E8F0FE"/>
          </w:tcPr>
          <w:p>
            <w:r/>
            <w:r>
              <w:rPr>
                <w:b/>
                <w:sz w:val="22"/>
              </w:rPr>
              <w:t>§ 10  Schlussbestimmungen</w:t>
            </w:r>
          </w:p>
        </w:tc>
        <w:tc>
          <w:tcPr>
            <w:tcW w:type="dxa" w:w="4844"/>
            <w:shd w:val="clear" w:color="auto" w:fill="E8F0FE"/>
          </w:tcPr>
          <w:p>
            <w:r/>
            <w:r>
              <w:rPr>
                <w:b/>
                <w:sz w:val="22"/>
              </w:rPr>
              <w:t>Section 10  Final Provisions</w:t>
            </w:r>
          </w:p>
        </w:tc>
      </w:tr>
      <w:tr>
        <w:tc>
          <w:tcPr>
            <w:tcW w:type="dxa" w:w="4844"/>
          </w:tcPr>
          <w:p>
            <w:r/>
            <w:r>
              <w:rPr>
                <w:b w:val="0"/>
                <w:sz w:val="20"/>
              </w:rPr>
              <w:t>10.1</w:t>
              <w:tab/>
              <w:t>Sprachklausel. Dieser Vertrag wird in deutscher und englischer Sprache ausgefertigt. Die deutsche Sprachfassung ist allein verbindlich; die englische Fassung dient ausschließlich der besseren Verständlichkeit.</w:t>
              <w:br/>
              <w:t>10.2</w:t>
              <w:tab/>
              <w:t>Präambel und Anlagen sind Bestandteil dieses Vertrages.</w:t>
              <w:br/>
              <w:t>10.3</w:t>
              <w:tab/>
              <w:t>Salvatorische Klausel. Sollte eine Bestimmung ganz oder teilweise nichtig sein, bleibt die Wirksamkeit der übrigen unberührt. § 139 BGB wird vollständig abbedungen.</w:t>
              <w:br/>
              <w:t>10.4</w:t>
              <w:tab/>
              <w:t>Änderungen bedürfen der Textform; das gilt auch für die Änderung dieses Textformerfordernisses.</w:t>
              <w:br/>
              <w:t>10.5</w:t>
              <w:tab/>
              <w:t>Abtretung nur mit vorheriger schriftlicher Zustimmung aller Parteien; ausgenommen Abtretungen an verbundene Unternehmen oder vom Darlehensgeber verwaltete Fonds.</w:t>
              <w:br/>
              <w:t>10.6</w:t>
              <w:tab/>
              <w:t>Anwendbares Recht und Streitbeilegung. Dieser Vertrag unterliegt deutschem Recht unter Ausschluss des UN-Kaufrechts (CISG) und des Kollisionsrechts. Alle Streitigkeiten werden nach der DIS-Schiedsordnung in ihrer jeweils gültigen Fassung durch einen Einzelschiedsrichter endgültig entschieden; Schiedsort Frankfurt am Main, Schiedssprache Deutsch.</w:t>
            </w:r>
          </w:p>
        </w:tc>
        <w:tc>
          <w:tcPr>
            <w:tcW w:type="dxa" w:w="4844"/>
          </w:tcPr>
          <w:p>
            <w:r/>
            <w:r>
              <w:rPr>
                <w:b w:val="0"/>
                <w:sz w:val="20"/>
              </w:rPr>
              <w:t>10.1</w:t>
              <w:tab/>
              <w:t>Language clause. This Agreement is executed in German and English. The German version shall be the only binding version; the English version is for convenience only.</w:t>
              <w:br/>
              <w:t>10.2</w:t>
              <w:tab/>
              <w:t>The preamble and annexes form an integral part of this Agreement.</w:t>
              <w:br/>
              <w:t>10.3</w:t>
              <w:tab/>
              <w:t>Severability. Should any provision be wholly or partly void, the validity of the remaining provisions shall not be affected. Section 139 BGB is excluded in its entirety.</w:t>
              <w:br/>
              <w:t>10.4</w:t>
              <w:tab/>
              <w:t>Amendments require text form; this also applies to any amendment of this requirement.</w:t>
              <w:br/>
              <w:t>10.5</w:t>
              <w:tab/>
              <w:t>Assignment only with prior written consent of all Parties; excluded are assignments to affiliated entities or funds managed by the Lender.</w:t>
              <w:br/>
              <w:t>10.6</w:t>
              <w:tab/>
              <w:t>Governing law and dispute resolution. This Agreement is governed by German law to the exclusion of CISG and conflict-of-laws rules. All disputes shall be finally resolved under the DIS Rules of Arbitration (as amended from time to time) by a sole arbitrator; seat: Frankfurt am Main; language: German.</w:t>
            </w:r>
          </w:p>
        </w:tc>
      </w:tr>
    </w:tbl>
    <w:p/>
    <w:p>
      <w:pPr>
        <w:pStyle w:val="Heading2"/>
      </w:pPr>
      <w:r>
        <w:t>Unterschriften / Signatures</w:t>
      </w:r>
    </w:p>
    <w:tbl>
      <w:tblPr>
        <w:tblStyle w:val="TableGrid"/>
        <w:tblW w:type="auto" w:w="0"/>
        <w:tblLook w:firstColumn="1" w:firstRow="1" w:lastColumn="0" w:lastRow="0" w:noHBand="0" w:noVBand="1" w:val="04A0"/>
      </w:tblPr>
      <w:tblGrid>
        <w:gridCol w:w="4844"/>
        <w:gridCol w:w="4844"/>
      </w:tblGrid>
      <w:tr>
        <w:tc>
          <w:tcPr>
            <w:tcW w:type="dxa" w:w="4844"/>
          </w:tcPr>
          <w:p>
            <w:r>
              <w:rPr>
                <w:sz w:val="20"/>
              </w:rPr>
              <w:t>Die Gesellschaft – Sonnenglas Solartechnologie UG (haftungsbeschränkt)</w:t>
              <w:br/>
              <w:t>Ort, Datum: _______________________________</w:t>
              <w:br/>
              <w:t>_______________________________________</w:t>
              <w:br/>
              <w:t>Dr. Mira Schoeneck, Geschäftsführerin</w:t>
              <w:br/>
              <w:br/>
              <w:t>[DocuSign: Unterzeichnung per qualifizierter elektronischer Signatur möglich]</w:t>
            </w:r>
          </w:p>
        </w:tc>
        <w:tc>
          <w:tcPr>
            <w:tcW w:type="dxa" w:w="4844"/>
          </w:tcPr>
          <w:p>
            <w:r>
              <w:rPr>
                <w:sz w:val="20"/>
              </w:rPr>
              <w:t>The Company – Sonnenglas Solartechnologie UG (haftungsbeschränkt)</w:t>
              <w:br/>
              <w:t>Place, Date: _______________________________</w:t>
              <w:br/>
              <w:t>_______________________________________</w:t>
              <w:br/>
              <w:t>Dr. Mira Schoeneck, Managing Director</w:t>
              <w:br/>
              <w:br/>
              <w:t>[DocuSign: Execution by electronic signature is possible]</w:t>
            </w:r>
          </w:p>
        </w:tc>
      </w:tr>
      <w:tr>
        <w:tc>
          <w:tcPr>
            <w:tcW w:type="dxa" w:w="4844"/>
          </w:tcPr>
          <w:p>
            <w:r>
              <w:rPr>
                <w:sz w:val="20"/>
              </w:rPr>
              <w:t>Die Gesellschafterin 1 – Dr. Mira Schoeneck</w:t>
              <w:br/>
              <w:t>Ort, Datum: _______________________________</w:t>
              <w:br/>
              <w:t>_______________________________________</w:t>
              <w:br/>
              <w:t>in eigener Person</w:t>
            </w:r>
          </w:p>
        </w:tc>
        <w:tc>
          <w:tcPr>
            <w:tcW w:type="dxa" w:w="4844"/>
          </w:tcPr>
          <w:p>
            <w:r>
              <w:rPr>
                <w:sz w:val="20"/>
              </w:rPr>
              <w:t>Shareholder 1 – Dr. Mira Schoeneck</w:t>
              <w:br/>
              <w:t>Place, Date: _______________________________</w:t>
              <w:br/>
              <w:t>_______________________________________</w:t>
              <w:br/>
              <w:t>in person</w:t>
            </w:r>
          </w:p>
        </w:tc>
      </w:tr>
      <w:tr>
        <w:tc>
          <w:tcPr>
            <w:tcW w:type="dxa" w:w="4844"/>
          </w:tcPr>
          <w:p>
            <w:r>
              <w:rPr>
                <w:sz w:val="20"/>
              </w:rPr>
              <w:t>Die Gesellschafterin 2 – Lina Habersaat</w:t>
              <w:br/>
              <w:t>Ort, Datum: _______________________________</w:t>
              <w:br/>
              <w:t>_______________________________________</w:t>
              <w:br/>
              <w:t>in eigener Person</w:t>
            </w:r>
          </w:p>
        </w:tc>
        <w:tc>
          <w:tcPr>
            <w:tcW w:type="dxa" w:w="4844"/>
          </w:tcPr>
          <w:p>
            <w:r>
              <w:rPr>
                <w:sz w:val="20"/>
              </w:rPr>
              <w:t>Shareholder 2 – Lina Habersaat</w:t>
              <w:br/>
              <w:t>Place, Date: _______________________________</w:t>
              <w:br/>
              <w:t>_______________________________________</w:t>
              <w:br/>
              <w:t>in person</w:t>
            </w:r>
          </w:p>
        </w:tc>
      </w:tr>
      <w:tr>
        <w:tc>
          <w:tcPr>
            <w:tcW w:type="dxa" w:w="4844"/>
          </w:tcPr>
          <w:p>
            <w:r>
              <w:rPr>
                <w:sz w:val="20"/>
              </w:rPr>
              <w:t>Der Darlehensgeber – Northstar Pre-Seed Partners GmbH &amp; Co. KG</w:t>
              <w:br/>
              <w:t>Ort, Datum: _______________________________</w:t>
              <w:br/>
              <w:t>_______________________________________</w:t>
              <w:br/>
              <w:t>vertreten durch ihre Komplementärin Northstar Management GmbH</w:t>
              <w:br/>
              <w:t>[Name, Titel Unterzeichner]</w:t>
            </w:r>
          </w:p>
        </w:tc>
        <w:tc>
          <w:tcPr>
            <w:tcW w:type="dxa" w:w="4844"/>
          </w:tcPr>
          <w:p>
            <w:r>
              <w:rPr>
                <w:sz w:val="20"/>
              </w:rPr>
              <w:t>The Lender – Northstar Pre-Seed Partners GmbH &amp; Co. KG</w:t>
              <w:br/>
              <w:t>Place, Date: _______________________________</w:t>
              <w:br/>
              <w:t>_______________________________________</w:t>
              <w:br/>
              <w:t>represented by its general partner Northstar Management GmbH</w:t>
              <w:br/>
              <w:t>[Name, Title of signatory]</w:t>
            </w:r>
          </w:p>
        </w:tc>
      </w:tr>
    </w:tbl>
    <w:sectPr w:rsidR="00FC693F" w:rsidRPr="0006063C"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