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WANDELDARLEHENSVERTRAG</w:t>
      </w:r>
    </w:p>
    <w:p>
      <w:pPr>
        <w:jc w:val="center"/>
      </w:pPr>
      <w:r>
        <w:rPr>
          <w:b/>
          <w:sz w:val="24"/>
        </w:rPr>
        <w:t>zwischen</w:t>
      </w:r>
    </w:p>
    <w:p/>
    <w:p>
      <w:r>
        <w:rPr>
          <w:sz w:val="22"/>
        </w:rPr>
        <w:t>(1) Sonnenglas Solartechnologie UG (haftungsbeschränkt)</w:t>
        <w:br/>
        <w:t>Geschäftsanschrift: Musterstraße 12, 10115 Berlin</w:t>
        <w:br/>
        <w:t>eingetragen im Handelsregister des Amtsgerichts Charlottenburg unter HRB 123456 B,</w:t>
        <w:br/>
        <w:t>vertreten durch ihre alleinvertretungsberechtigte Geschäftsführerin Dr. Mira Schoeneck,</w:t>
        <w:br/>
        <w:t>– nachstehend die „Gesellschaft" –</w:t>
        <w:br/>
        <w:br/>
        <w:t>(2) Dr. Mira Schoeneck</w:t>
        <w:br/>
        <w:t>Wohnanschrift: Musterstraße 12, 10115 Berlin</w:t>
        <w:br/>
        <w:t>– nachstehend die „Gesellschafterin 1" –</w:t>
        <w:br/>
        <w:br/>
        <w:t>(3) Lina Habersaat</w:t>
        <w:br/>
        <w:t>Wohnanschrift: Beispielweg 5, 20095 Hamburg</w:t>
        <w:br/>
        <w:t>– nachstehend die „Gesellschafterin 2" –</w:t>
        <w:br/>
        <w:t>– Gesellschafterin 1 und Gesellschafterin 2 gemeinsam die „Gesellschafterinnen" –</w:t>
        <w:br/>
        <w:br/>
        <w:t>(4) Northstar Pre-Seed Partners GmbH &amp; Co. KG</w:t>
        <w:br/>
        <w:t>Geschäftsanschrift: Venture-Allee 1, 60329 Frankfurt am Main</w:t>
        <w:br/>
        <w:t>eingetragen im Handelsregister des Amtsgerichts Frankfurt am Main unter HRA 99999,</w:t>
        <w:br/>
        <w:t>vertreten durch ihre Komplementärin Northstar Management GmbH,</w:t>
        <w:br/>
        <w:t>– nachstehend der „Darlehensgeber" –</w:t>
        <w:br/>
        <w:t>– die Gesellschaft, die Gesellschafterinnen und der Darlehensgeber jeweils eine „Partei" und gemeinsam die „Parteien" –</w:t>
      </w:r>
    </w:p>
    <w:p/>
    <w:p>
      <w:pPr>
        <w:pStyle w:val="Heading1"/>
      </w:pPr>
      <w:r>
        <w:rPr>
          <w:sz w:val="24"/>
        </w:rPr>
        <w:t>§ 0  Präambel</w:t>
      </w:r>
    </w:p>
    <w:p>
      <w:r>
        <w:rPr>
          <w:sz w:val="22"/>
        </w:rPr>
        <w:t>(A)</w:t>
        <w:tab/>
        <w:t>Die Gesellschaft ist eine im Handelsregister des Amtsgerichts Charlottenburg unter HRB 123456 B eingetragene Unternehmergesellschaft (haftungsbeschränkt) deutschen Rechts. Das Stammkapital der Gesellschaft beträgt EUR 1.000 (eintausend Euro), eingeteilt in 100 Geschäftsanteile mit einem Nennbetrag von je EUR 1,00. Die Gesellschafterinnen Dr. Mira Schoeneck (40 Anteile) und Lina Habersaat (35 Anteile) sowie die Gesellschaft selbst (25 eigene Anteile, Treasury) halten die Gesamtheit der Geschäftsanteile.</w:t>
        <w:br/>
        <w:br/>
        <w:t>(B)</w:t>
        <w:tab/>
        <w:t>Gegenstand der Gesellschaft ist die Entwicklung und der Vertrieb von Steuerungssoftware für Photovoltaik-Kleinanlagen sowie damit zusammenhängende Beratungsdienstleistungen.</w:t>
        <w:br/>
        <w:br/>
        <w:t>(C)</w:t>
        <w:tab/>
        <w:t>Die Gesellschaft beabsichtigt, ihre operative Geschäftstätigkeit weiterzuentwickeln und plant eine qualifizierte Seed-Finanzierungsrunde für das erste Quartal 2027 (angestrebte Pre-Money-Bewertung: EUR 5 bis 8 Millionen). Zur Überbrückungsfinanzierung bis zur Seed-Runde benötigt die Gesellschaft zusätzliche liquide Mittel. Der Darlehensgeber ist bereit, der Gesellschaft die in diesem Vertrag vereinbarten Mittel im Wege eines Wandeldarlehens zur Verfügung zu stellen.</w:t>
        <w:br/>
        <w:br/>
        <w:t>(D)</w:t>
        <w:tab/>
        <w:t>Das Darlehen soll einschließlich der aufgelaufenen Zinsen ganz oder teilweise in Eigenkapital der Gesellschaft umgewandelt werden, sobald eines der in § 4 definierten Wandlungsereignisse eintritt. Die Parteien beabsichtigen die zweistufige Konstruktion: Das Wandeldarlehen selbst begründet nur eine schuldrechtliche Verpflichtung; die dingliche Umsetzung erfolgt durch notariell beurkundete Kapitalerhöhung und Übernahmeerklärung (§ 55 Abs. 2 GmbHG).</w:t>
        <w:br/>
        <w:br/>
        <w:t>Dies vorausgeschickt, vereinbaren die Parteien Folgendes:</w:t>
      </w:r>
    </w:p>
    <w:p/>
    <w:p>
      <w:pPr>
        <w:pStyle w:val="Heading1"/>
      </w:pPr>
      <w:r>
        <w:rPr>
          <w:sz w:val="24"/>
        </w:rPr>
        <w:t>§ 1  Darlehensgewährung und Auszahlung</w:t>
      </w:r>
    </w:p>
    <w:p>
      <w:r>
        <w:rPr>
          <w:sz w:val="22"/>
        </w:rPr>
        <w:t>1.1</w:t>
        <w:tab/>
        <w:t>Der Darlehensgeber gewährt der Gesellschaft hiermit ein Darlehen in Höhe von EUR 250.000 (in Worten: zweihundertfünfzigtausend Euro) (das „Darlehen"). Die Gesellschaft nimmt das Darlehen zu den Bedingungen dieses Vertrages an.</w:t>
        <w:br/>
        <w:br/>
        <w:t>1.2</w:t>
        <w:tab/>
        <w:t>Das Darlehen ist innerhalb von sieben (7) deutschen Bankarbeitstagen nach vollständiger Unterzeichnung dieses Vertrages durch alle Parteien zur Auszahlung fällig. Die Auszahlung erfolgt in voller Höhe, in EUR und kosten- sowie gebührenfrei durch Überweisung auf folgendes Konto der Gesellschaft:</w:t>
        <w:br/>
        <w:br/>
        <w:t>Kontoinhaber:</w:t>
        <w:tab/>
        <w:t>Sonnenglas Solartechnologie UG (haftungsbeschränkt)</w:t>
        <w:br/>
        <w:t>Kreditinstitut:</w:t>
        <w:tab/>
        <w:t>Musterbank AG</w:t>
        <w:br/>
        <w:t>IBAN:</w:t>
        <w:tab/>
        <w:t>DE89 3704 0044 0532 0130 00</w:t>
        <w:br/>
        <w:t>BIC:</w:t>
        <w:tab/>
        <w:t>COBADEFFXXX</w:t>
        <w:br/>
        <w:t>Verwendungszweck:</w:t>
        <w:tab/>
        <w:t>Wandeldarlehen Northstar</w:t>
        <w:br/>
        <w:br/>
        <w:t>1.3</w:t>
        <w:tab/>
        <w:t>Die Auszahlung erfolgt vorbehaltlich etwaiger aufschiebender Bedingungen aus dem Term Sheet. Liegen solche nicht vor, sind sie für die Auszahlung unbeachtlich.</w:t>
      </w:r>
    </w:p>
    <w:p/>
    <w:p>
      <w:pPr>
        <w:pStyle w:val="Heading1"/>
      </w:pPr>
      <w:r>
        <w:rPr>
          <w:sz w:val="24"/>
        </w:rPr>
        <w:t>§ 2  Laufzeit und Rückzahlung</w:t>
      </w:r>
    </w:p>
    <w:p>
      <w:r>
        <w:rPr>
          <w:sz w:val="22"/>
        </w:rPr>
        <w:t>2.1</w:t>
        <w:tab/>
        <w:t>Dieser Vertrag hat eine feste Laufzeit von zwei (2) Jahren ab vollständiger Unterzeichnung durch alle Parteien (die „Feste Laufzeit") und endet mit Ablauf der Festen Laufzeit, ohne dass es einer Kündigung bedarf.</w:t>
        <w:br/>
        <w:br/>
        <w:t>2.2</w:t>
        <w:tab/>
        <w:t>Vorbehaltlich der Regelungen in § 6 (qualifizierter Rangrücktritt) und einer Wandlung nach § 4 sind das Darlehen und die aufgelaufenen Zinsen am Tag nach (i) dem Ablauf der Festen Laufzeit oder (ii) einer wirksamen Kündigung aus wichtigem Grund zur Rückzahlung fällig.</w:t>
        <w:br/>
        <w:br/>
        <w:t>2.3</w:t>
        <w:tab/>
        <w:t>Eine ordentliche Kündigung ist für alle Parteien ausgeschlossen. Das Recht des Darlehensgebers zur außerordentlichen Kündigung wegen Vermögensverschlechterung gemäß § 490 Abs. 1 BGB ist ausgeschlossen.</w:t>
        <w:br/>
        <w:br/>
        <w:t>2.4</w:t>
        <w:tab/>
        <w:t>Das Recht zur Kündigung aus wichtigem Grund (§ 314 BGB) bleibt unberührt.</w:t>
      </w:r>
    </w:p>
    <w:p/>
    <w:p>
      <w:pPr>
        <w:pStyle w:val="Heading1"/>
      </w:pPr>
      <w:r>
        <w:rPr>
          <w:sz w:val="24"/>
        </w:rPr>
        <w:t>§ 3  Verzinsung</w:t>
      </w:r>
    </w:p>
    <w:p>
      <w:r>
        <w:rPr>
          <w:sz w:val="22"/>
        </w:rPr>
        <w:t>3.1</w:t>
        <w:tab/>
        <w:t>Das Darlehen ist ab dem Tag der Auszahlung mit 5,0 % p. a. zu verzinsen. Die Zinsen werden pro rata temporis berechnet; dabei werden die tatsächlich abgelaufenen Zinstage zugrunde gelegt und durch 360 geteilt (act/360).</w:t>
        <w:br/>
        <w:br/>
        <w:t>3.2</w:t>
        <w:tab/>
        <w:t>Die Zinsen fallen während der gesamten Laufzeit an und sind im Fall der Rückzahlung gemeinsam mit dem Darlehensbetrag fällig. Im Fall der Wandlung werden die aufgelaufenen Zinsen Bestandteil der Wandlungssumme.</w:t>
        <w:br/>
        <w:br/>
        <w:t>3.3</w:t>
        <w:tab/>
        <w:t>Eine unterjährige Zahlung von Zinsen erfolgt nicht. Die Verzinsung steht unter dem Vorbehalt des qualifizierten Rangrücktritts gemäß § 6.</w:t>
      </w:r>
    </w:p>
    <w:p/>
    <w:p>
      <w:pPr>
        <w:pStyle w:val="Heading1"/>
      </w:pPr>
      <w:r>
        <w:rPr>
          <w:sz w:val="24"/>
        </w:rPr>
        <w:t>§ 4  Wandlung</w:t>
      </w:r>
    </w:p>
    <w:p>
      <w:r>
        <w:rPr>
          <w:sz w:val="22"/>
        </w:rPr>
        <w:t>4.1</w:t>
        <w:tab/>
        <w:t>Der Darlehensgeber ist berechtigt, auf einseitige Erklärung in Textform gegenüber der Gesellschaft die Wandlung des Darlehens nebst aufgelaufener Zinsen in Geschäftsanteile der Gesellschaft zu verlangen (die „Wandlungsoption"). Die Wandlung kann nur einheitlich für den gesamten zum Zeitpunkt der Ausübung offenen Betrag (Darlehensvaluta zuzüglich aufgelaufener Zinsen, zusammen die „Wandlungssumme") ausgeübt werden.</w:t>
        <w:br/>
        <w:br/>
        <w:t>4.2</w:t>
        <w:tab/>
        <w:t>Die Wandlung setzt den Eintritt eines der folgenden Ereignisse voraus (jeweils ein „Wandlungsereignis"):</w:t>
        <w:br/>
        <w:t>(a)</w:t>
        <w:tab/>
        <w:t>Qualified Financing: ein Beschluss der Gesellschafterversammlung über eine Barkapitalerhöhung, durch die der Gesellschaft frisches Eigenkapital in Höhe von mindestens EUR 500.000 zugeführt wird, und bei der die Pre-Money-Bewertung mindestens EUR 4.000.000 beträgt;</w:t>
        <w:br/>
        <w:t>(b)</w:t>
        <w:tab/>
        <w:t>Exit – Share Deal: Abschluss eines Vertrages über Veräußerung von mehr als 50 % der Gesellschaftsanteile;</w:t>
        <w:br/>
        <w:t>(c)</w:t>
        <w:tab/>
        <w:t>Exit – Asset Deal: Abschluss eines Vertrages über Veräußerung von mehr als 50 % des Aktivvermögens (Verkehrswert);</w:t>
        <w:br/>
        <w:t>(d)</w:t>
        <w:tab/>
        <w:t>Fusion / IPO: Beschluss über Verschmelzung oder Börsengang mit Kontrollwechsel (Altgesellschafterinnen unter 50 %);</w:t>
        <w:br/>
        <w:t>(e)</w:t>
        <w:tab/>
        <w:t>Maturity: Ablauf der Festen Laufzeit (§ 2.1).</w:t>
        <w:br/>
        <w:br/>
        <w:t>4.3</w:t>
        <w:tab/>
        <w:t>Die Gesellschaft informiert den Darlehensgeber spätestens zwei (2) Wochen vor Durchführung eines Wandlungsereignisses in Textform (die „Wandlungsmitteilung") unter Angabe von: (i) Namen der Investoren, (ii) Pre-Money-Bewertung, (iii) Investitionsvolumen, (iv) Anzahl und Gattung neuer Geschäftsanteile.</w:t>
        <w:br/>
        <w:br/>
        <w:t>4.4</w:t>
        <w:tab/>
        <w:t>Die Wandlungsoption ist per Textform gegenüber der Gesellschaft innerhalb von einem (1) Monat nach Zugang der Wandlungsmitteilung auszuüben.</w:t>
        <w:br/>
        <w:br/>
        <w:t>4.5</w:t>
        <w:tab/>
        <w:t>Wandlungspreis. Der Wandlungspreis je neuem Geschäftsanteil ergibt sich aus dem Minimum der folgenden drei Werte:</w:t>
        <w:br/>
        <w:t>(A) Rundenpreis: Pre-Money-Bewertung der Runde / vollverwässerte Anteile vor Kapitalerhöhung;</w:t>
        <w:br/>
        <w:t>(B) Discount-Preis: (1 − 20 %) × Pre-Money-Bewertung / vollverwässerte Anteile;</w:t>
        <w:br/>
        <w:t>(C) Cap-Preis: EUR 4.000.000 / vollverwässerte Anteile.</w:t>
        <w:br/>
        <w:t>Wandlungspreis = MIN(A; B; C).</w:t>
        <w:br/>
        <w:t>Anzahl neue Anteile = Wandlungssumme / Wandlungspreis (auf nächsten ganzen Anteil à EUR 1,00 aufrunden, § 5 Abs. 1 GmbHG).</w:t>
        <w:br/>
        <w:br/>
        <w:t>4.6</w:t>
        <w:tab/>
        <w:t>Bruchteile werden auf den nächsten ganzen Nennwert-Euro aufgerundet (§ 5 Abs. 1 GmbHG).</w:t>
        <w:br/>
        <w:br/>
        <w:t>4.7</w:t>
        <w:tab/>
        <w:t>Most-Favoured-Nation. Falls die Gesellschaft ein weiteres Wandeldarlehen mit günstigeren Konditionen aufnimmt, sind diese dem Darlehensgeber automatisch einzuräumen.</w:t>
        <w:br/>
        <w:br/>
        <w:t>4.8</w:t>
        <w:tab/>
        <w:t>Pro-rata-Recht. Der Darlehensgeber hat das Recht, im Qualified Financing einen zusätzlichen Betrag proportional zu seinem Anteil an der Wandlungssumme zu investieren.</w:t>
        <w:br/>
        <w:br/>
        <w:t>4.9</w:t>
        <w:tab/>
        <w:t>Liquidationspräferenz. Im Liquidation Event nach § 4.2 (b) bis (d) hat der Darlehensgeber das Wahlrecht, statt der Wandlung die Rückzahlung der Wandlungssumme zu verlangen (Liquidationspräferenz 1x non-participating, Ausübungsfrist: zwei Wochen).</w:t>
        <w:br/>
        <w:br/>
        <w:t>4.10</w:t>
        <w:tab/>
        <w:t>Fall-back bei Maturity. Tritt kein Wandlungsereignis nach § 4.2 (a) bis (d) ein, erfolgt die Wandlung bei Maturity auf Grundlage einer Pre-Money-Bewertung von EUR 4.000.000.</w:t>
      </w:r>
    </w:p>
    <w:p/>
    <w:p>
      <w:pPr>
        <w:pStyle w:val="Heading1"/>
      </w:pPr>
      <w:r>
        <w:rPr>
          <w:sz w:val="24"/>
        </w:rPr>
        <w:t>§ 5  Mitwirkungspflichten der Gesellschafterinnen</w:t>
      </w:r>
    </w:p>
    <w:p>
      <w:r>
        <w:rPr>
          <w:sz w:val="22"/>
        </w:rPr>
        <w:t>5.1</w:t>
        <w:tab/>
        <w:t>Die Gesellschafterinnen verpflichten sich, mit allen gesellschaftsrechtlichen Mitteln dafür Sorge zu tragen, dass eine wirksam ausgeübte Wandlung ordnungsgemäß durchgeführt wird. Insbesondere werden sie an einer hierfür erforderlichen Gesellschafterversammlung teilnehmen, alle erforderlichen Beschlüsse fassen (Kapitalerhöhung, Zulassung des Darlehensgebers, Bezugsrechtsverzicht) und alle notariell zu beurkundenden Erklärungen abgeben.</w:t>
        <w:br/>
        <w:br/>
        <w:t>5.2</w:t>
        <w:tab/>
        <w:t>Die Gesellschafterinnen stimmen bereits jetzt einer Übertragung der Wandlungsanteile an mit dem Darlehensgeber verbundene Unternehmen oder Fonds zu.</w:t>
        <w:br/>
        <w:br/>
        <w:t>5.3</w:t>
        <w:tab/>
        <w:t>Die Gesellschafterinnen verpflichten sich, künftige Gesellschafter zur Beitrittspflicht zu diesem Vertrag zu verpflichten.</w:t>
      </w:r>
    </w:p>
    <w:p/>
    <w:p>
      <w:pPr>
        <w:pStyle w:val="Heading1"/>
      </w:pPr>
      <w:r>
        <w:rPr>
          <w:sz w:val="24"/>
        </w:rPr>
        <w:t>§ 6  Qualifizierter Rangrücktritt</w:t>
      </w:r>
    </w:p>
    <w:p>
      <w:r>
        <w:rPr>
          <w:sz w:val="22"/>
        </w:rPr>
        <w:t>6.1</w:t>
        <w:tab/>
        <w:t>Nachrang im Insolvenzverfahren. Der Darlehensgeber tritt mit sämtlichen Ansprüchen aus diesem Vertrag (Rückzahlung, Zinsen, Schadensersatz, zusammen die „Nachrangforderungen") gemäß § 39 Abs. 2 InsO im Rang hinter alle Forderungen i.S.d. §§ 38 und 39 Abs. 1 Nr. 1 bis 5 InsO zurück.</w:t>
        <w:br/>
        <w:br/>
        <w:t>6.2</w:t>
        <w:tab/>
        <w:t>Vorinsolvenzliche Durchsetzungssperre. Außerhalb eines Insolvenzverfahrens darf der Darlehensgeber Befriedigung der Nachrangforderungen nur aus künftigen Jahresüberschüssen, einem Liquidationsüberschuss oder sonstigem freien Vermögen verlangen, das die sonstigen Verbindlichkeiten übersteigt, und nur solange und soweit die Erfüllung nicht Zahlungsunfähigkeit (§ 17 InsO) oder Überschuldung (§ 19 InsO) verursacht, vertieft oder droht (vgl. BGH, Urt. v. 5. März 2015 – IX ZR 133/14; Urt. v. 21. September 2017 – IX ZR 191/15).</w:t>
        <w:br/>
        <w:br/>
        <w:t>6.3</w:t>
        <w:tab/>
        <w:t>Klarstellung. Dieser Rangrücktritt stellt einen qualifizierten Rangrücktritt i.S.d. BGH-Rechtsprechung dar, geeignet zur Beseitigung der Berücksichtigung der Nachrangforderungen im Überschuldungsstatus (§ 19 Abs. 2 Satz 2 InsO).</w:t>
        <w:br/>
        <w:br/>
        <w:t>6.4</w:t>
        <w:tab/>
        <w:t>Aufhebungsverbot. Dieser Rangrücktritt ist als echter Vertrag zugunsten Dritter (§ 328 BGB) ausgestaltet. Aufhebung nur mit schriftlicher Zustimmung der Gesellschaft und nur ohne Entstehung einer Insolvenzreife.</w:t>
        <w:br/>
        <w:br/>
        <w:t>6.5</w:t>
        <w:tab/>
        <w:t>§ 15b InsO-Klausel. Rückzahlung ist unzulässig, soweit sie persönliche Haftung der Geschäftsführerinnen nach § 15b InsO begründen würde. Verbotswidrige Rückzahlungen sind zurückzugewähren.</w:t>
      </w:r>
    </w:p>
    <w:p/>
    <w:p>
      <w:pPr>
        <w:pStyle w:val="Heading1"/>
      </w:pPr>
      <w:r>
        <w:rPr>
          <w:sz w:val="24"/>
        </w:rPr>
        <w:t>§ 7  Informationsrechte</w:t>
      </w:r>
    </w:p>
    <w:p>
      <w:r>
        <w:rPr>
          <w:sz w:val="22"/>
        </w:rPr>
        <w:t>7.1</w:t>
        <w:tab/>
        <w:t>Die Gesellschaft erstattet dem Darlehensgeber quartalsmäßig (innerhalb von dreißig Tagen nach Quartalsende) einen schriftlichen Geschäftsführer-Update-Bericht mit wesentlichen Kennzahlen (Umsatz, EBITDA, Liquidität, Personalbestand, Produktmeilensteine).</w:t>
        <w:br/>
        <w:br/>
        <w:t>7.2</w:t>
        <w:tab/>
        <w:t>Auf Anfrage des Darlehensgebers stellt die Gesellschaft innerhalb von sieben (7) Bankarbeitstagen die aktuelle Cash-Position (Kontoauszüge) zur Verfügung.</w:t>
        <w:br/>
        <w:br/>
        <w:t>7.3</w:t>
        <w:tab/>
        <w:t>Informationsrechte, die zukünftigen Eigenkapitalgebern eingeräumt werden, stehen dem Darlehensgeber bis zur Wandlung in gleicher Weise zu.</w:t>
      </w:r>
    </w:p>
    <w:p/>
    <w:p>
      <w:pPr>
        <w:pStyle w:val="Heading1"/>
      </w:pPr>
      <w:r>
        <w:rPr>
          <w:sz w:val="24"/>
        </w:rPr>
        <w:t>§ 8  Vertraulichkeit</w:t>
      </w:r>
    </w:p>
    <w:p>
      <w:r>
        <w:rPr>
          <w:sz w:val="22"/>
        </w:rPr>
        <w:t>8.1</w:t>
        <w:tab/>
        <w:t>Die Parteien behandeln sämtliche Informationen im Zusammenhang mit diesem Vertrag streng vertraulich.</w:t>
        <w:br/>
        <w:br/>
        <w:t>8.2</w:t>
        <w:tab/>
        <w:t>Offenlegung ist zulässig gegenüber: (a) Mitarbeitenden und Beratern mit Verschwiegenheitspflicht; (b) verbundenen Unternehmen; (c) potenziellen Investoren im Rahmen von Folge-Pitches (mit NDA); (d) Banken und Finanzierungspartnern; (e) Dritten bei Unternehmenstransaktionen (NDA + GF-Zustimmung); (f) Gerichten und Schiedsgerichten; (g) Behörden soweit gesetzlich erforderlich; (h) Hinweisgeberinnen (HinSchG).</w:t>
        <w:br/>
        <w:br/>
        <w:t>8.3</w:t>
        <w:tab/>
        <w:t>Gesetzliche Verschwiegenheitspflichten bleiben unberührt.</w:t>
      </w:r>
    </w:p>
    <w:p/>
    <w:p>
      <w:pPr>
        <w:pStyle w:val="Heading1"/>
      </w:pPr>
      <w:r>
        <w:rPr>
          <w:sz w:val="24"/>
        </w:rPr>
        <w:t>§ 9  Form, Beurkundung und Ausfertigung</w:t>
      </w:r>
    </w:p>
    <w:p>
      <w:r>
        <w:rPr>
          <w:sz w:val="22"/>
        </w:rPr>
        <w:t>9.1</w:t>
        <w:tab/>
        <w:t>Textformausreichung. Dieser Vertrag kann in Textform (§ 126b BGB), insbesondere durch elektronische Signatur (z. B. DocuSign) oder Austausch unterzeichneter PDF-Kopien per E-Mail, abgeschlossen werden.</w:t>
        <w:br/>
        <w:br/>
        <w:t>9.2</w:t>
        <w:tab/>
        <w:t>Beurkundungspflicht. Die Parteien gehen einvernehmlich davon aus, dass dieser Vertrag selbst keiner notariellen Beurkundung bedarf, da die Wandlung zweistufig konstruiert ist und beurkundungspflichtige Erklärungen (§ 15 Abs. 3 und 4 GmbHG, § 53 Abs. 2 GmbHG) erst im Zuge der späteren Kapitalerhöhung abgegeben werden.</w:t>
        <w:br/>
        <w:br/>
        <w:t>9.3</w:t>
        <w:tab/>
        <w:t>Heilungsklausel. Sollte sich entgegen dieser Annahme ergeben, dass dieser Vertrag notariell zu beurkunden ist, verpflichten sich die Parteien unwiderruflich, dies unverzüglich nachzuholen. Die Kosten trägt die Gesellschaft. Bis zur Beurkundung stellen sich die Parteien wirtschaftlich so, als wäre sie bereits wirksam erfolgt (§ 311 Abs. 1 BGB).</w:t>
      </w:r>
    </w:p>
    <w:p/>
    <w:p>
      <w:pPr>
        <w:pStyle w:val="Heading1"/>
      </w:pPr>
      <w:r>
        <w:rPr>
          <w:sz w:val="24"/>
        </w:rPr>
        <w:t>§ 10  Schlussbestimmungen</w:t>
      </w:r>
    </w:p>
    <w:p>
      <w:r>
        <w:rPr>
          <w:sz w:val="22"/>
        </w:rPr>
        <w:t>10.1</w:t>
        <w:tab/>
        <w:t>Sprachklausel. Dieser Vertrag wird in deutscher und englischer Sprache ausgefertigt. Die deutsche Sprachfassung ist allein verbindlich; die englische Fassung dient ausschließlich der besseren Verständlichkeit.</w:t>
        <w:br/>
        <w:br/>
        <w:t>10.2</w:t>
        <w:tab/>
        <w:t>Präambel und Anlagen sind Bestandteil dieses Vertrages.</w:t>
        <w:br/>
        <w:br/>
        <w:t>10.3</w:t>
        <w:tab/>
        <w:t>Salvatorische Klausel. Sollte eine Bestimmung ganz oder teilweise nichtig oder unwirksam sein, bleibt die Wirksamkeit der übrigen unberührt. § 139 BGB wird vollständig abbedungen.</w:t>
        <w:br/>
        <w:br/>
        <w:t>10.4</w:t>
        <w:tab/>
        <w:t>Änderungen und Ergänzungen bedürfen der Textform (§ 126b BGB); das gilt auch für die Änderung dieses Textformerfordernisses.</w:t>
        <w:br/>
        <w:br/>
        <w:t>10.5</w:t>
        <w:tab/>
        <w:t>Abtretung von Rechten oder Pflichten nur mit vorheriger schriftlicher Zustimmung aller Parteien; ausgenommen sind Abtretungen an verbundene Unternehmen des Darlehensgebers oder von ihm verwaltete Fonds.</w:t>
        <w:br/>
        <w:br/>
        <w:t>10.6</w:t>
        <w:tab/>
        <w:t>Anwendbares Recht und Streitbeilegung. Dieser Vertrag unterliegt ausschließlich dem Recht der Bundesrepublik Deutschland unter Ausschluss des UN-Kaufrechts (CISG) und des deutschen Kollisionsrechts. Alle Streitigkeiten aus oder im Zusammenhang mit diesem Vertrag werden nach der Schiedsordnung der Deutschen Institution für Schiedsgerichtsbarkeit e.V. (DIS) in ihrer jeweils gültigen Fassung durch einen Einzelschiedsrichter endgültig entschieden; Schiedsort: Frankfurt am Main; Schiedssprache: Deutsch.</w:t>
      </w:r>
    </w:p>
    <w:p/>
    <w:p>
      <w:pPr>
        <w:pStyle w:val="Heading1"/>
      </w:pPr>
      <w:r>
        <w:t>Unterschriften</w:t>
      </w:r>
    </w:p>
    <w:p>
      <w:r>
        <w:rPr>
          <w:sz w:val="22"/>
        </w:rPr>
        <w:t>Die Gesellschaft – Sonnenglas Solartechnologie UG (haftungsbeschränkt)</w:t>
        <w:br/>
        <w:t>vertreten durch die alleinvertretungsberechtigte Geschäftsführerin Dr. Mira Schoeneck</w:t>
      </w:r>
    </w:p>
    <w:p>
      <w:r>
        <w:rPr>
          <w:sz w:val="22"/>
        </w:rPr>
        <w:t>Ort, Datum: _______________________________</w:t>
        <w:br/>
        <w:br/>
        <w:t>_______________________________________</w:t>
        <w:br/>
        <w:t>(Unterschrift)</w:t>
        <w:br/>
      </w:r>
    </w:p>
    <w:p/>
    <w:p>
      <w:r>
        <w:rPr>
          <w:sz w:val="22"/>
        </w:rPr>
        <w:t>Die Gesellschafterin 1 – Dr. Mira Schoeneck</w:t>
        <w:br/>
        <w:t>in eigener Person</w:t>
      </w:r>
    </w:p>
    <w:p>
      <w:r>
        <w:rPr>
          <w:sz w:val="22"/>
        </w:rPr>
        <w:t>Ort, Datum: _______________________________</w:t>
        <w:br/>
        <w:br/>
        <w:t>_______________________________________</w:t>
        <w:br/>
        <w:t>(Unterschrift)</w:t>
        <w:br/>
      </w:r>
    </w:p>
    <w:p/>
    <w:p>
      <w:r>
        <w:rPr>
          <w:sz w:val="22"/>
        </w:rPr>
        <w:t>Die Gesellschafterin 2 – Lina Habersaat</w:t>
        <w:br/>
        <w:t>in eigener Person</w:t>
      </w:r>
    </w:p>
    <w:p>
      <w:r>
        <w:rPr>
          <w:sz w:val="22"/>
        </w:rPr>
        <w:t>Ort, Datum: _______________________________</w:t>
        <w:br/>
        <w:br/>
        <w:t>_______________________________________</w:t>
        <w:br/>
        <w:t>(Unterschrift)</w:t>
        <w:br/>
      </w:r>
    </w:p>
    <w:p/>
    <w:p>
      <w:r>
        <w:rPr>
          <w:sz w:val="22"/>
        </w:rPr>
        <w:t>Der Darlehensgeber – Northstar Pre-Seed Partners GmbH &amp; Co. KG</w:t>
        <w:br/>
        <w:t>vertreten durch ihre Komplementärin Northstar Management GmbH</w:t>
      </w:r>
    </w:p>
    <w:p>
      <w:r>
        <w:rPr>
          <w:sz w:val="22"/>
        </w:rPr>
        <w:t>Ort, Datum: _______________________________</w:t>
        <w:br/>
        <w:br/>
        <w:t>_______________________________________</w:t>
        <w:br/>
        <w:t>(Unterschrift)</w:t>
        <w:br/>
      </w:r>
    </w:p>
    <w:p/>
    <w:p>
      <w:r>
        <w:rPr>
          <w:sz w:val="18"/>
        </w:rPr>
        <w:t>[Dieser Vertrag kann mittels elektronischer Signatur (DocuSign) unterzeichnet werden. Jede Ausfertigung gilt als Original. Alle Ausfertigungen bilden zusammen einen einheitlichen Vertrag.]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