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line="240" w:lineRule="auto"/>
        <w:rPr>
          <w:rFonts w:ascii="Liberation Serif" w:hAnsi="Liberation Serif"/>
          <w:lang w:val="ru-RU"/>
        </w:rPr>
      </w:pPr>
    </w:p>
    <w:p w14:paraId="55A7C027" w14:textId="77777777" w:rsidR="003402B8" w:rsidRPr="00A06C81" w:rsidRDefault="003402B8" w:rsidP="00974102">
      <w:pPr>
        <w:pStyle w:val="MySubtitle"/>
        <w:spacing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jc w:val="right"/>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line="240" w:lineRule="auto"/>
        <w:rPr>
          <w:rFonts w:ascii="Liberation Serif" w:hAnsi="Liberation Serif"/>
          <w:sz w:val="40"/>
          <w:lang w:val="ru-RU"/>
        </w:rPr>
        <w:jc w:val="cente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line="240" w:lineRule="auto"/>
        <w:rPr>
          <w:rFonts w:ascii="Liberation Serif" w:hAnsi="Liberation Serif"/>
          <w:b/>
          <w:sz w:val="24"/>
          <w:lang w:val="ru-RU"/>
        </w:rPr>
        <w:jc w:val="cente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line="240" w:lineRule="auto"/>
        <w:rPr>
          <w:rFonts w:ascii="Liberation Serif" w:hAnsi="Liberation Serif"/>
          <w:sz w:val="36"/>
          <w:lang w:val="ru-RU"/>
        </w:rPr>
        <w:jc w:val="cente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line="240" w:lineRule="auto"/>
        <w:rPr>
          <w:rFonts w:ascii="Liberation Serif" w:hAnsi="Liberation Serif"/>
          <w:sz w:val="16"/>
          <w:lang w:val="ru-RU"/>
        </w:rPr>
      </w:pPr>
    </w:p>
    <w:p w14:paraId="271DAADB" w14:textId="6E3D3D9A" w:rsidR="003402B8" w:rsidRPr="00801DDC" w:rsidRDefault="003402B8" w:rsidP="00974102">
      <w:pPr>
        <w:pStyle w:val="MyTitleCenter"/>
        <w:spacing w:line="240" w:lineRule="auto"/>
        <w:rPr>
          <w:rFonts w:ascii="Liberation Serif" w:hAnsi="Liberation Serif"/>
          <w:sz w:val="32"/>
          <w:lang w:val="ru-RU"/>
        </w:rPr>
        <w:jc w:val="cente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2 001 231 руб., внутренняя норма доходности (IRR) — 31,51%, индекс прибыльности (PI) — 1,24, дисконтированный срок окупаемости (DPB) — 32 месяца. Анализ чувствительности подтвердил устойчивость проекта к снижению объёма сбыта в пределах 10–15%.</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2,001,231 rubles, internal rate of return (IRR) — 31.51%, profitability index (PI) — 1.24, discounted payback period (DPB) — 32 months. The sensitivity analysis has confirmed the resilience of the project to a 10–15%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[3]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[22].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[13].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[5].</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 в Российской Федерации, осуществляемой в форме капитальных вложений», методические рекомендации по оценке эффективности инвестиционных проектов [14],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[17].</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[23],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[14].</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[20]),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[13]</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[7]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[8],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 [24]</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[11],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[6];</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[21]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[18]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[19; 22] монтажных организаций с лицензией МЧС, из которых около 60% относятся к субъектам малого и среднего предпринимательства [2].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60 миллионов рублей, установленного Федеральным законом для применения упрощённой системы налогообложения [4] без обязанности уплаты налога на добавленную стоимость (с 2025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[15; 16]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[15]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23% (средневзвешенная ставка для МСП: 30% на часть заработной платы, равную МРОТ, и 15% на сумму превышения)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[9])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 [25]</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7 000 000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10 000 000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10 000 000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(7 000 000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spacing w:line="360" w:lineRule="auto"/>
        <w:jc w:val="center"/>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line="360" w:lineRule="auto"/>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line="360" w:lineRule="auto"/>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line="360" w:lineRule="auto"/>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line="360" w:lineRule="auto"/>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line="360" w:lineRule="auto"/>
      </w:pPr>
    </w:p>
    <w:p w14:paraId="7F862D0F" w14:textId="77777777" w:rsidR="00452BE2" w:rsidRDefault="005A169E">
      <w:pPr>
        <w:spacing w:line="360" w:lineRule="auto"/>
      </w:pPr>
    </w:p>
    <w:p w14:paraId="597B8398" w14:textId="77777777" w:rsidR="00452BE2" w:rsidRPr="00BE6C3C" w:rsidRDefault="005A169E">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pPr>
        <w:jc w:val="center"/>
      </w:pPr>
      <w:r>
        <w:rPr>
          <w:rFonts w:ascii="Liberation Serif" w:hAnsi="Liberation Serif" w:cs="Liberation Serif"/>
          <w:sz w:val="28"/>
          <w:szCs w:val="28"/>
        </w:rPr>
        <w:t>Рисунок 17.1 – Модуль «План персонала» (детализация)</w:t>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7 000 000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отсрочка погашения тела долга 7 месяцев (в период инвестиционной фазы предприятие выплачивает только проценты), схема погашения –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27D706BE" w14:textId="60A08C92" w:rsidR="006A6139" w:rsidRDefault="00272543">
      <w:pPr>
        <w:pStyle w:val="FC"/>
        <w:spacing w:line="360" w:lineRule="auto"/>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line="360" w:lineRule="auto"/>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line="360" w:lineRule="auto"/>
      </w:pPr>
    </w:p>
    <w:p w14:paraId="681F77C4" w14:textId="77777777" w:rsidR="006F5EB5" w:rsidRDefault="005A169E">
      <w:pPr>
        <w:pStyle w:val="FC"/>
        <w:spacing w:line="360" w:lineRule="auto"/>
      </w:pPr>
    </w:p>
    <w:p w14:paraId="1A428774" w14:textId="77777777" w:rsidR="006F5EB5" w:rsidRDefault="005A169E">
      <w:pPr>
        <w:pStyle w:val="FC"/>
        <w:spacing w:line="360" w:lineRule="auto"/>
      </w:pPr>
    </w:p>
    <w:p w14:paraId="05531A2D" w14:textId="77777777" w:rsidR="006F5EB5" w:rsidRDefault="005A169E">
      <w:pPr>
        <w:pStyle w:val="FC"/>
        <w:spacing w:line="360" w:lineRule="auto"/>
      </w:pPr>
    </w:p>
    <w:p w14:paraId="601FEA31" w14:textId="77777777" w:rsidR="006F5EB5" w:rsidRDefault="005A169E">
      <w:pPr>
        <w:pStyle w:val="FC"/>
        <w:spacing w:line="360" w:lineRule="auto"/>
      </w:pPr>
    </w:p>
    <w:p w14:paraId="43683C55" w14:textId="77777777" w:rsidR="006F5EB5" w:rsidRDefault="005A169E">
      <w:pPr>
        <w:pStyle w:val="FC"/>
        <w:spacing w:line="360" w:lineRule="auto"/>
      </w:pPr>
    </w:p>
    <w:p w14:paraId="10DF5D40" w14:textId="77777777" w:rsidR="006F5EB5" w:rsidRDefault="005A169E">
      <w:pPr>
        <w:pStyle w:val="FC"/>
        <w:spacing w:line="360" w:lineRule="auto"/>
      </w:pPr>
    </w:p>
    <w:p w14:paraId="640927F4" w14:textId="77777777" w:rsidR="006F5EB5" w:rsidRPr="00BE6C3C" w:rsidRDefault="005A169E">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32 месяца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1,24, то есть каждый вложенный рубль генерирует 24 копейки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2 001 231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31,51%,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line="360" w:lineRule="auto"/>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3EF84481" w:rsidR="001F7619" w:rsidRDefault="00D349C3">
      <w:pPr>
        <w:pStyle w:val="FC"/>
        <w:spacing w:line="360" w:lineRule="auto"/>
        <w:rPr>
          <w:rFonts w:eastAsia="Liberation Serif" w:cs="Liberation Serif"/>
          <w:szCs w:val="24"/>
        </w:rPr>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line="360" w:lineRule="auto"/>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line="360" w:lineRule="auto"/>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line="360" w:lineRule="auto"/>
      </w:pPr>
    </w:p>
    <w:p w14:paraId="117BE8DE" w14:textId="08BB97C6" w:rsidR="00445FEA" w:rsidRDefault="00D349C3">
      <w:pPr>
        <w:pStyle w:val="FC"/>
        <w:spacing w:line="360" w:lineRule="auto"/>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line="360" w:lineRule="auto"/>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line="360" w:lineRule="auto"/>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spacing w:line="360" w:lineRule="auto"/>
        <w:rPr>
          <w:rFonts w:cs="Liberation Serif"/>
          <w:color w:val="000000"/>
          <w:sz w:val="28"/>
        </w:rPr>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10–15%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 xml:space="preserve">Индекс прибыльности при базовом сценарии составляет 1,24.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2 001 231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31,51%,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1,24,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32 месяца,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60 млн руб.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[12]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Liberation Serif" w:hAnsi="Liberation Serif" w:cs="Liberation Serif"/>
        <w:sz w:val="28"/>
        <w:szCs w:val="28"/>
        <w:lang w:val="ru-RU" w:eastAsia="en-US" w:bidi="ar-SA"/>
      </w:rPr>
    </w:rPrDefault>
    <w:pPrDefault>
      <w:pPr>
        <w:spacing w:after="0" w:line="360" w:lineRule="auto"/>
        <w:jc w:val="both"/>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