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Экспертное заключение нормоконтролера и члена Государственной экзаменационной комиссии (ГЭК) по итогам глубокого аудита выпускной квалификационной работы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Настоящее экспертное заключение подготовлено по итогам проведения глубокого аудита текста выпускной квалификационной работы (ВКР) обучающегося Воробьева П. А. на тему «Инвестиционный проект производственного предприятия».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Объектом исследования в рецензируемой работе выступает малое производственное предприятие ООО «СигналПром», бизнес-модель которого ориентирована на серийный выпуск комбинированных дымо-тепловых пожарных извещателей модели ИПК 212/101-1-СП «Сигнал» с использованием концепции гибридной автоматизации.</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Аудит проведен с позиций строгого нормоконтроля, а также с точки зрения соответствия представленных финансовых, аналитических и стратегических вычислений стандартам профессионального инвестиционного проектирования (методология UNIDO) и актуальному нормативно-правовому полю Российской Федерации на период 2026 года.</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Представленная на рассмотрение Государственной экзаменационной комиссии (ГЭК) работа демонстрирует определенную степень владения материалом в части технологического описания процессов автоматизированного контроля качества и понимания макроэкономических предпосылок импортозамещения.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Выбор программного комплекса Project Expert 6 Holding для построения динамической имитационной модели движения денежных потоков свидетельствует о стремлении автора использовать профессиональный инструментарий финансового менеджмента.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Однако глубокая декомпозиция представленных данных выявила множественные и критические искажения базовых законов финансовой математики, прямые противоречия между заявленным календарным планом и регуляторными требованиями, а также грубые ошибки в интерпретации налогового законодательства. Выявленные недочеты не носят характера незначительных опечаток; они формируют каскадный эффект, который полностью разрушает достоверность интегральных показателей эффективности проекта (NPV, IRR, PI, DPP) и делает невозможной практическую реализацию инвестиционного проекта в описанном виде.</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Ниже представлен структурированный и исчерпывающий анализ выявленных ошибок с разделением на критические дефекты, требующие немедленного пересчета всей финансовой модели, логические нестыковки, свидетельствующие о слабости аналитического аппарата, и развернутые рекомендации по спасению проекта до начала процедуры официальной защиты.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Критические ошибки (требуют исправления)</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данном разделе сконцентрированы методологические и арифметические просчеты, наличие которых приводит к формированию кассовых разрывов (Cash Gap) в симуляционной модели, нарушает базовые принципы корпоративных финансов и является основанием для выставления неудовлетворительной оценки на защите.</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Математика и финансы: Фундаментальный разрыв в структуре финансирования и дефицит оборотного капитала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Проверка сбалансированности инвестиционного бюджета выявила критическую нестыковку между заявленными объемами привлекаемого капитала и реальной потребностью предприятия в финансовых ресурсах на инвестиционной фазе. В разделе 3.1.4 работы автор приводит Таблицу 9, согласно которой совокупная потребность в финансировании проекта составляет ровно 5 000 000 рублей, формируемых за счет взноса в уставный капитал в размере 3 000 000 рублей и банковского кредита МСП в размере 2 000 000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Сопровождающий текст утверждает, что из этой суммы 4 974 482 рубля направляются на капитальные вложения (CAPEX), а оставшаяся сумма, составляющая приблизительно 205 000 рублей, формирует начальный оборотный капитал для закупки первой партии комплектующих.</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Арифметика данного утверждения не выдерживает простейшей проверки. Бюджет капитальных вложений, представленный в Таблице 7, действительно математически корректен внутри себя: сумма затрат на комбинированный стенд «СИ-ТДК» (2 407 500 руб.), климатическую камеру (505 575 руб.), пресс-форму (500 000 руб.), ремонт помещения (450 000 руб.), мебель (250 000 руб.), АРМ программатора (170 000 руб.), сертификацию (150 000 руб.), прочее оборудование (386 600 руб.) и прочие расходы (154 807 руб.) в точности равна 4 974 482 рублям.</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Однако вычитание данной суммы из общего объема финансирования в 5 000 000 рублей оставляет в распоряжении предприятия не заявленные 205 000 рублей, а всего лишь 25 518 рублей.</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Наличие на расчетном счете суммы в 25 518 рублей в качестве стартового оборотного капитала является фатальным фактором для жизнеспособности предприятия. Согласно исходным данным из раздела 3.1.2, только ежемесячный арендный платеж за помещение на улице Радиозаводской составляет 49 875 рублей, а коммунальные услуги требуют еще 22 000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Таким образом, средств оборотного капитала не хватит даже на покрытие базовых постоянных издержек (OPEX) первого месяца инвестиционной фазы. Дополнительно предприятие обязано нести расходы на закупку стартовой партии электронной компонентной базы у поставщиков «ЧИП и ДИП» и ООО «Электроконнект», а также выплачивать заработную плату нанятому персоналу на предпусковой стадии в декабре 2026 года.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Внесение подобных параметров в модуль «Финансирование» программного комплекса Project Expert 6 Holding неминуемо приведет к генерации отчета о движении денежных средств (Cash Flow) с глубоко отрицательным сальдо в нулевом периоде. Программа классифицирует такой сценарий как банкротство, что делает невозможным получение описанных автором положительных графиков окупаемости. Очевидно, что автор искусственно подогнал итоговую сумму финансирования под красивое круглое значение в пять миллионов рублей, полностью проигнорировав необходимость расчета потребности в чистом оборотном капитале (Net Working Capital).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Математика и финансы: Грубые искажения в расчете фонда оплаты труда и налогообложении персонала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Анализ раздела 3.1.1, описывающего организационную структуру и штатное расписание предприятия, выявил глубокое непонимание автором принципов бухгалтерского учета и налогообложения труда в Российской Федерации. Автор заявляет, что совокупный фонд оплаты труда составляет 370 000 рублей в месяц «на руки», а с учетом страховых взносов по ставке 30% полная стоимость персонала для предприятия достигает 455 100 рублей в месяц.</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 данном расчете допущены три независимые методологические ошибки, суммарный эффект которых катастрофически искажает операционные затраты проекта.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Во-первых, автор полностью проигнорировал существование налога на доходы физических лиц (НДФЛ). Термин «на руки» в финансовой практике обозначает чистую заработную плату (Net Pay), которая выплачивается работнику после удержания НДФЛ по ставке 13%. Предприятие, выступая налоговым агентом, обязано формировать начисленный фонд оплаты труда (Gross Pay), который является базой для расчета страховых взносов. Если целевая сумма к выдаче на руки составляет 370 000 рублей (директор 70 000, главный инженер 100 000, техник ОТК 60 000 и два сборщика по 70 000), то начисленный фонд оплаты труда должен составлять 425 287 рублей в месяц. Страховые взносы рассчитываются государством именно от суммы в 425 287 рублей, а не от суммы, выдаваемой сотрудникам на руки.</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Во-вторых, заявленная математическая логика расчета страховых взносов содержит очевидное противоречие. Если разделить итоговую стоимость персонала, заявленную автором (455 100 рублей), на базовую сумму (370 000 рублей), получается коэффициент 1,23.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Это означает, что автор физически прибавил к сумме 23%, в то время как в самом тексте абзаца прямо заявляет о применении ставки в 30%.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Подобное несоответствие текста и примененных математических формул недопустимо в финансовых расчетах. Более того, в модуле «Налоги» (раздел 3.4.2) автор указывает еще одну противоречивую цифру, заявляя о внесении страховых взносов в размере 23% и взносов на травматизм в размере 0,2%.</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В-третьих, автор демонстрирует неосведомленность о действующих льготах для субъектов малого и среднего предпринимательства (МСП). Для микропредприятий, к которым относится ООО «СигналПром», законодательство РФ устанавливает пониженные тарифы страховых взносов. Ставка в 30% применяется исключительно к части заработной платы, равной минимальному размеру оплаты труда (МРОТ), тогда как ко всей сумме, превышающей МРОТ, применяется пониженная ставка в 15%. Учитывая, что заработные платы персонала предприятия (от 60 000 до 100 000 рублей) кратно превышают МРОТ, эффективная ставка страховых взносов должна рассчитываться по дифференцированной шкале.</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наглядности расхождений ниже приведена таблица, демонстрирующая разницу между расчетом автора и корректным финансовым расчетом по усредненной базовой ставке (даже без учета сложных льгот МСП, чтобы показать масштаб арифметической ошибки).</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Показатель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Расчет автора в тексте ВКР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Корректный расчет (Gross Pay + 30,2%)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Отклонение (руб./мес.)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Сумма выплат «на руки» (Net 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370 000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370 000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руб.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НДФЛ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Не учтен (0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55 287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+55 287 руб.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Начисленный ФОТ (Gross 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370 000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425 287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+55 287 руб.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Страховые взносы (включая травматизм)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85 100 руб. (по факту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128 436 руб. (30,2% от Gross 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+43 336 руб.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Итоговая стоимость персонала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455 100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553 723 руб.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+98 623 руб.</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Разница между заявленными расходами и реальными затратами составляет почти 100 000 рублей ежемесячно, что трансформируется в неучтенные операционные расходы в размере 1,2 миллиона рублей в год. Применение таких искаженных данных в Project Expert гарантированно привело к искусственному завышению чистой прибыли и рентабельности.</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Математика и финансы: Парадокс интегральных показателей эффективности (NPV и PI)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Особую озабоченность вызывает анализ результатов инвестиционного проектирования, представленных в Аннотации и разделе 3.4.6. Интегральные показатели эффективности инвестиционного проекта не являются независимыми переменными; они жестко связаны между собой математическими законами дисконтирования. Автор заявляет, что бюджет капитальных вложений (CAPEX) составляет 4 974 482 рубля, чистый дисконтированный доход (NPV) равен 2 461 669 рублям, а индекс прибыльности (PI) составляет 1,31.</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Индекс прибыльности (Profitability Index) по классической методологии UNIDO определяется как отношение суммы дисконтированных притоков денежных средств к первоначальным инвестициям. Математически это выражается формулой: PI = 1 + (NPV / CAPEX).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Проведение проверочного расчета на основе заявленных автором исходных данных дает совершенно иной результат. Подстановка значений приводит к следующему уравнению: 1 + (2 461 669 / 4 974 482) = 1 + 0,4948. Следовательно, истинный индекс прибыльности при заявленном NPV обязан составлять 1,49.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Заявленное в тексте работы значение PI = 1,31 является математической невозможностью при текущем уровне дисконтированного дохода. Если мы примем значение PI = 1,31 за истинное, то обратный расчет показывает, что чистый дисконтированный доход должен был составить всего 1 542 089 рублей. Подобное математическое противоречие свидетельствует о том, что цифры в итоговых разделах были либо скомпилированы из разных версий расчета в Project Expert, либо подогнаны вручную с целью искусственного улучшения визуальной привлекательности проекта. В профессиональном финансовом анализе такая рассинхронизация базовых показателей полностью лишает инвестиционный меморандум кредита доверия.</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Временная логика и Календарный план: Парадокс инвестиционной фазы и сертификации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Анализ календарного плана работ, представленного в виде диаграммы Ганта в разделе 3.2 и Таблице 10, выявил фундаментальное логическое противоречие, касающееся сроков прохождения обязательной государственной сертификации продукции и старта коммерческих продаж.</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Автор заявляет, что инвестиционная фаза длится четыре месяца, с 1 сентября по 31 декабря 2026 года, после чего, строго с 1 января 2027 года, предприятие переходит к операционной деятельности и началу продаж.</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При этом в том же тексте детализируется критический путь проекта: изготовление пресс-формы для пластикового корпуса на контрактном производстве занимает 8 недель (сентябрь–ноябрь).</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Только после получения первых отлитых корпусов становится возможной сборка пробной партии из 50 извещателей, что запланировано на декабрь и требует 7 дней.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И только после выпуска этой пробной партии образцы могут быть переданы в аккредитованную лабораторию для прохождения испытаний на соответствие требованиям Технического регламента Евразийского экономического союза (ТР ЕАЭС 043/2017).</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Автор справедливо отмечает, что сертификационные лабораторные испытания занимают 3-4 недели, однако ошибочно полагает, что этот процесс может быть завершен до 1 января.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Передача образцов в лабораторию объективно возможна не ранее середины декабря. Учитывая нормативные сроки климатических и аэродинамических испытаний по ГОСТ Р 53325-2024, а также неизбежные задержки из-за длительных государственных новогодних праздников в январе, получение легитимного сертификата и права нанесения знака ЕАС возможно не ранее конца января или начала февраля 2027 года.</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Коммерческая реализация технических средств пожарной безопасности без действующего сертификата соответствия ТР ЕАЭС 043/2017 является грубым нарушением законодательства и влечет за собой административную, а при наступлении тяжких последствий — и уголовную ответственность.</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Следовательно, заложенный в финансовую модель старт генерации выручки с 1 января 2027 года является правовой фикцией. Задержка старта продаж минимум на месяц при сохранении обязательств по выплате заработной платы, аренды и процентов по банковскому кредиту неизбежно приведет к возникновению непредвиденного кассового разрыва. Моделирование в Project Expert обязано учитывать этот временной лаг (Time Lag) между выпуском пробной партии и началом легальной отгрузки продукции дистрибьюторам.</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Логические нестыковки</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данный раздел включены противоречия между текстовым описанием и табличными данными, а также слабые места в стратегическом обосновании бизнес-модели, которые свидетельствуют об отсутствии консистентности в исследованиях автора.</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Консистентность данных (Текст vs. Таблицы): Противоречия в плане сбыта и выходе на проектную мощность</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Особого внимания заслуживает несоответствие данных, описывающих процесс выхода предприятия на проектную производственную мощность в течение первого года работы. В разделе 1.2 автор приводит Таблицу 4, где фиксирует отпускные цены: комбинированный извещатель реализуется по 1 800 рублей, монтажная база — по 350 рублей, а услуги пусконаладки оцениваются в 5 000 рублей за объект.</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При стопроцентной загрузке (700 изделий и 10 объектов в месяц) совокупная выручка математически корректно рассчитана в размере 1 555 000 рублей.</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Однако логика полностью рушится при анализе Таблицы 5, которая должна демонстрировать поэтапный выход на мощность в процентах.</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Автор применил метод слепого математического пропорционального умножения итоговой суммы на проценты загрузки, проигнорировав физическую сущность реализуемых товаров и услуг. Например, для периода «Месяц 1-2» заявлена загрузка в 8%, объем выпуска 58 штук, а выручка указана как 128 850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Проведем обратный расчет: продажа 58 извещателей (по 1 800 руб.) и 58 баз (по 350 руб.) генерирует ровно 124 700 рублей выручки.</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Разница между заявленной суммой (128 850 руб.) и стоимостью железа составляет 4 150 рублей. Учитывая, что стоимость одной услуги пусконаладки составляет 5 000 рублей, это означает, что предприятие планирует реализовывать 0,83 услуги в месяц.</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Аналогичная ситуация прослеживается для месяцев 5-6 (загрузка 42%, 292 штуки, заявленная выручка 649 300 руб.).</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Стоимость 292 комплектов составляет 627 800 рублей, оставляя 21 500 рублей на услуги, что эквивалентно оказанию 4,3 услуг в месяц. Подобное дробление неделимых физических объектов (услуг шефмонтажа) недопустимо в профессиональном бизнес-планировании. Использование инструмента «Быстрый ввод» в Project Expert для автоматического пропорционального масштабирования часто приводит к генерации нереализуемых остатков на складах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что автор должен был отследить и скорректировать вручную до целых чисел.</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Логика бизнес-модели: Ошибочное экономическое обоснование применения УСН 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 разделе 3.1.1 автор обосновывает выбор специального налогового режима — упрощенной системы налогообложения (УСН) с объектом «доходы минус расходы» по ставке 15% — следующим образом: «Выбор данного режима обусловлен значительной долей материальных затрат в структуре расходов предприятия (закупка печатных плат, электронных компонентов, корпусов), что делает доходно-расходную схему существенно выгоднее схемы "доходы 6%"».</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Данное текстовое утверждение прямо опровергается финансовыми выкладками самого автора. В Таблице 8 представлена детализированная структура прямой себестоимости одного комбинированного извещателя (BOM), которая составляет ровно 382 рубля.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При отпускной оптовой цене изделия в 1 800 рублей, материальные затраты составляют всего 21,2% от выручки, а маржинальная прибыль достигает 79%.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Производственное предприятие, функционирующее с долей прямых материальных затрат на уровне 21%, классифицируется как высокорентабельный бизнес с низкой материалоемкостью. Главной и самой тяжелой статьей расходов такого предприятия является не закупка текстолита и пластика, а фонд оплаты труда высококвалифицированного инженерного персонала, занимающегося финишной сборкой и программированием.</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Выбор схемы УСН 15% может быть оправдан исключительно в первый год реализации проекта, поскольку данный режим позволяет единовременно списать всю сумму капитальных вложений (CAPEX в размере почти 5 млн рублей) в состав расходов сразу после ввода стендов и камер в эксплуатацию, тем самым обнулив налог на прибыль на старте.</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Однако в долгосрочной перспективе, начиная со второго года, когда амортизационный щит CAPEX исчерпан, колоссальная 79-процентная маржинальность приведет к формированию огромной налогооблагаемой базы. Сравнительный анализ показывает, что уплата 6% со всей суммы дохода (с возможностью уменьшения налога на сумму уплаченных страховых взносов) будет обходиться предприятию значительно дешевле, чем уплата 15% с огромной разницы между доходами и небольшими материальными расходами. Стратегическое обоснование налоговой политики выстроено на ложной предпосылке о высокой материалоемкости.</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Логика бизнес-модели: Использование нерелевантных налоговых ограничений и сдерживание роста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 разделе 1.2, анализируя план сбыта, автор заявляет: «Прогноз годовой выручки на проектной мощности составляет 18,66 миллиона рублей, что находится ниже порогового значения 20 миллионов рублей, установленного для применения упрощенной системы налогообложения без обязанности уплаты налога на добавленную стоимость в переходный период 2026 года».</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Данное утверждение свидетельствует о слабом проведении PEST-анализа и непонимании макроэкономического окружения, в котором предстоит функционировать предприятию. В рамках налоговой реформы Российской Федерации, определяющей параметры функционирования бизнеса в 2025-2026 годах, порог выручки, при котором субъекты малого предпринимательства, применяющие УСН, освобождаются от обязанности исчислять и уплачивать налог на добавленную стоимость (НДС), установлен на уровне 60 миллионов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Цифра в 20 миллионов рублей является устаревшей и юридически недействительной для заявленного периода инвестиционного проекта.</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Опираясь на несуществующий низкий лимит, автор искусственно сдерживает производственный потенциал своего предприятия. Анализ альтернативных черновиков финансовой модели, представленных в исследовательской базе (в частности, сценарий «Максимальное расширение»), показывает, что при установлении отпускной цены извещателя на уровне 2 850 рублей и расширении номенклатуры, предприятие способно генерировать выручку свыше 81 миллиона рублей в год.</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Искусственное ограничение выручки планкой в 18,66 миллиона рублей ради фиктивного лимита в 20 миллионов лишает проект стратегической гибкости и возможности агрессивного захвата рынка в условиях ухода западных конкурентов.</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Консистентность данных: Структура прямой себестоимости и неучтенная логистика</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Таблица 8 «Структура прямой себестоимости одного комбинированного извещателя (BOM)» вызывает сомнения в своей практической полноте. Автор с аптекарской точностью суммирует стоимость компонентов: печатная плата (175 руб.), микроконтроллер WCH (23 руб.), термистор (6 руб.), корпус (50 руб.) и так далее, получая в итоге ровно 382 рубля.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Тем не менее, данная структура BOM является рафинированной и не отражает реалий аутсорсингового производства.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Предприятие применяет модель гибридной автоматизации, при которой SMT-монтаж печатных плат передается контрактному производителю (упоминается ООО «Электроконнект»), а закупка компонентов осуществляется у федеральных дистрибьюторов («ЧИП и ДИП», «Компэл»).</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Производственный цех ООО «СигналПром» локализован в городе Рязани.</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 условиях нарушенных глобальных цепочек поставок и дефицита логистических мощностей, доставка тысяч печатных плат и бобин с SMD-компонентами неизбежно влечет за собой существенные транспортно-заготовительные расходы (ТЗР).</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Ни в прямой себестоимости (Таблица 8), ни в общих операционных издержках (где учтены только аренда, связь и бухгалтерия) логистические расходы не заложены.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Практика показывает, что логистика съедает от 3% до 7% стоимости малосерийных партий электроники, что должно быть отражено в модуле «План производства (прямые издержки)» системы Project Expert.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Рекомендации по улучшению текста</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устранения выявленных критических ошибок и приведения выпускной квалификационной работы в соответствие с требованиями Государственной экзаменационной комиссии, автору необходимо провести полную ревизию расчетов, внести изменения в Project Expert и обновить текстовую часть документа согласно следующим рекомендациям.</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1. Пересмотр структуры финансирования и обеспечение оборотного капитала (Критически важно)</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 избежание кассового разрыва в нулевом периоде, необходимо увеличить общий объем инвестиционных средств.</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В Таблице 9 «Источники финансирования проекта» и в тексте раздела 3.1.4 следует увеличить взнос в уставный капитал за счет собственных средств учредителей (например, с 3 000 000 до 3 500 000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Общий бюджет проекта должен составить 5 500 000 рублей. Это обеспечит предприятие комфортной подушкой ликвидности в размере более 500 000 рублей, необходимой для покрытия операционных расходов на этапе пусконаладки и сертификации. В модуле «Акционерный капитал» Project Expert необходимо отразить соответствующее изменение.</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2. Корректный расчет Фонда оплаты труда (Критически важно)</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Текст ВКР и модуль «План персонала» должны быть переработаны в строгом соответствии с Налоговым кодексом РФ.</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В разделе 3.1.1 следует отказаться от использования термина «на руки». В штатном расписании необходимо указать начисленные заработные платы (Gross Pay) до вычета НДФЛ. Если целевой чистый доход директора составляет 70 000 рублей, то в модели должен быть заложен оклад 80 460 рублей; для инженера — 114 940 рублей, для техника — 68 965 рублей, для сборщиков — по 80 460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Общий начисленный ФОТ составит 425 285 рублей. В описании расчета страховых взносов необходимо указать применение льготного тарифа для МСП (15% на сумму свыше МРОТ) и продемонстрировать реальный расчет налоговой нагрузки, который сформирует итоговую стоимость персонала. Эти данные должны быть обновлены в соответствующей вкладке Project Expert.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3. Синхронизация интегральных показателей (Критически важно)</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Показатели NPV, IRR и PI должны представлять собой единый неразрывный математический блок.</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После исправления ошибок с оборотным капиталом и ФОТ, необходимо заново запустить пересчет имитационной модели в Project Expert 6 Holding. Новые, объективные значения дисконтированных потоков должны быть выгружены в текст ВКР (Аннотацию и раздел 3.4.6).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Автору необходимо убедиться, что выгруженный Индекс прибыльности (PI) строго удовлетворяет формуле PI = 1 + (NPV / CAPEX).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Попытки ручной корректировки цифр в тексте в отрыве от результатов программной симуляции категорически недопустимы.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4. Реалистичный сдвиг календарного плана (Логика и сроки)</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График реализации проекта должен отражать реальные сроки взаимодействия с государственными сертификационными органами.</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В тексте раздела 1.1, на диаграмме Ганта (раздел 3.2, Таблица 10) и в модуле «Список продуктов» Project Expert следует сдвинуть начало операционной деятельности (коммерческих продаж) с 1 января на 1 марта 2027 года.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Период с января по февраль должен быть описан как этап ожидания завершения сертификационных испытаний по ТР ЕАЭС 043/2017 и формирования буферного складского запаса готовой продукции для бесперебойных отгрузок первым клиентам.</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5. Актуализация нормативно-правового поля (Стратегия)</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Стратегическое обоснование проекта должно базироваться на действующих законах.</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В разделе 1.2 следует исключить абзац, упоминающий лимит по выручке в 20 миллионов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Текст должен отражать реальность налоговой реформы: освобождение от уплаты НДС при УСН в 2026 году сохраняется при выручке до 60 миллионов рублей.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Это позволит продемонстрировать комиссии, что предприятие имеет огромный запас для масштабирования (как было показано в черновой версии с выручкой свыше 80 миллионов) без риска выпадения из льготного налогового режима.</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6. Корректировка обоснования налогового режима (Финансы)</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В разделе 3.1.1 необходимо переписать аргументацию в пользу применения УСН «доходы минус расходы» (15%).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Аргумент о «значительной доле материальных затрат» следует заменить на более профессиональный: «Выбор УСН 15% обусловлен необходимостью форсированного списания значительных капитальных вложений (стоимость измерительных стендов и климатических камер) в состав расходов в первый год операционной деятельности, что позволяет максимизировать чистую прибыль на этапе окупаемости».</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Рекомендация 7. Устранение арифметических нестыковок в плане сбыта (Логика)</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Действия:</w:t>
      </w:r>
      <w:r w:rsidDel="00000000" w:rsidR="00000000" w:rsidRPr="00000000">
        <w:rPr>
          <w:rFonts w:ascii="Arial" w:cs="Arial" w:eastAsia="Arial" w:hAnsi="Arial"/>
          <w:color w:val="1f1f1f"/>
          <w:rtl w:val="0"/>
        </w:rPr>
        <w:t xml:space="preserve"> Таблица 5 «Поэтапный план освоения проектной мощности» должна быть пересчитана с применением логики целых чисел.</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Объемы выпускаемых извещателей, монтажных баз и услуг пусконаладки для каждого месяца должны быть округлены до целых значений, а итоговая выручка должна представлять собой точное математическое произведение количества единиц продукции на их отпускную цену (1 800 руб., 350 руб., 5 000 руб.).</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Это устранит генерацию дробных чисел в аналитических отчетах Project Expert.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Заключение: Разработанный автором проект создания сборочного производства обладает сильной инженерно-технологической базой и отвечает современным требованиям политики технологического суверенитета. Выбор оборудования для автоматизированного 100% контроля качества (стенд «СИ-ТДК») является серьезным конкурентным преимуществом.</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Однако текущая финансовая модель предприятия содержит дефекты, не позволяющие признать ее достоверной. Внедрение предложенных рекомендаций по балансировке инвестиционного бюджета, исправлению принципов начисления заработной платы и актуализации календарного графика под сроки государственной сертификации позволит трансформировать работу из состояния черновика в полноценный, профессиональный инвестиционный меморандум, достойный высокой оценки Государственной экзаменационной комиссии.</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ВКР_Воробьев.docx</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ВКР_Воробьев_ВЕРСИЯ_2_МАКСИМАЛЬНОЕ_РАСШИРЕНИЕ, </w:t>
      </w:r>
      <w:hyperlink r:id="rId6">
        <w:r w:rsidDel="00000000" w:rsidR="00000000" w:rsidRPr="00000000">
          <w:rPr>
            <w:rFonts w:ascii="Arial" w:cs="Arial" w:eastAsia="Arial" w:hAnsi="Arial"/>
            <w:color w:val="0000ee"/>
            <w:sz w:val="24"/>
            <w:szCs w:val="24"/>
            <w:u w:val="single"/>
            <w:rtl w:val="0"/>
          </w:rPr>
          <w:t xml:space="preserve">https://drive.google.com/open?id=15E76P54blTA3HGKzVWl5EkOwZIsfyLpTLIowmmztJQk</w:t>
        </w:r>
      </w:hyperlink>
      <w:r w:rsidDel="00000000" w:rsidR="00000000" w:rsidRPr="00000000">
        <w:rPr>
          <w:rtl w:val="0"/>
        </w:rPr>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 Expert 7: Моделирование производственных процессов, </w:t>
      </w:r>
      <w:hyperlink r:id="rId7">
        <w:r w:rsidDel="00000000" w:rsidR="00000000" w:rsidRPr="00000000">
          <w:rPr>
            <w:rFonts w:ascii="Arial" w:cs="Arial" w:eastAsia="Arial" w:hAnsi="Arial"/>
            <w:color w:val="0000ee"/>
            <w:sz w:val="24"/>
            <w:szCs w:val="24"/>
            <w:u w:val="single"/>
            <w:rtl w:val="0"/>
          </w:rPr>
          <w:t xml:space="preserve">https://drive.google.com/open?id=10OfI1rFbhVr5-99UWQsdI6-aCR8Fi4SKD_Wh4jCvnyE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5E76P54blTA3HGKzVWl5EkOwZIsfyLpTLIowmmztJQk" TargetMode="External"/><Relationship Id="rId7" Type="http://schemas.openxmlformats.org/officeDocument/2006/relationships/hyperlink" Target="https://drive.google.com/open?id=10OfI1rFbhVr5-99UWQsdI6-aCR8Fi4SKD_Wh4jCvn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