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Group 7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SURESHOT!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February 20, 2024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Anawelyn L. Bacar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Commonwealth High School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Subject: Proposal for Fruit Shooter - A Unique and Engaging Single-Player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Teachers,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hope this letter finds you well. I am writing to present a compelling proposal for a game that combines the thrill of arcade-style catching game with a fun and challenging twist involving fruits. This single-player game promises to provide an entertaining and immersive experience for players of all ages.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Concept: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Catching game invites players to embark on a delightful journey of catching various fruits into a moving basket, testing their precision and reflexes. The game boasts an array of features that make it engaging, challenging, and, most importantly, enjoyable.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Dynamic Difficulty Scaling: Our adaptive difficulty system ensures an optimal level of challenge for players, catering to both beginners and experienced gamers..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Daily Challenges and Events: Keep players engaged with daily challenges and special events, offering unique objectives and rewards to encourage regular gameplay.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Progressive Unlockables: Reward players with new fruits, baskets, and power-ups through achievements and challenges, ensuring a sense of progression.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Seasonal Updates and Themes: Regularly update the game with seasonal themes, introducing new levels, challenges, and exclusive rewards tied to holidays or special events.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Entertainment and Relaxation: FruitShooter provides a casual and enjoyable gaming experience for players of all ages.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Skill Development: The game promotes hand-eye coordination, precision, and quick decision-making skills.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Replay Value: With diverse levels, customization options, and challenging gameplay, players will find themselves returning to improve their scores and unlock new features.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conclusion, Fruit Catching game is poised to be a standout addition to the gaming landscape, offering a fresh and engaging take on the classic shooting genre. We believe that this game aligns with current market trends and has the potential to capture a wide audience.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would be delighted to discuss this proposal further at your convenience. Thank you for considering our proposal, and we look forward to the opportunity to bring SureShot! to life.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Danry James Olivar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Lei Jeum Maltu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Jannah Faith Alzate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