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47FF" w14:textId="77777777" w:rsidR="00C03E48" w:rsidRDefault="00000000">
      <w:pPr>
        <w:spacing w:after="100"/>
      </w:pPr>
      <w:r>
        <w:rPr>
          <w:b/>
          <w:bCs/>
          <w:color w:val="2B5797"/>
          <w:sz w:val="48"/>
          <w:szCs w:val="48"/>
        </w:rPr>
        <w:t>Life Expectancy Analysis</w:t>
      </w:r>
    </w:p>
    <w:p w14:paraId="1331E359" w14:textId="77777777" w:rsidR="00C03E48" w:rsidRDefault="00000000">
      <w:pPr>
        <w:spacing w:after="100"/>
      </w:pPr>
      <w:r>
        <w:rPr>
          <w:color w:val="666666"/>
          <w:sz w:val="32"/>
          <w:szCs w:val="32"/>
        </w:rPr>
        <w:t>Project 2 — Python / JupyterLab</w:t>
      </w:r>
    </w:p>
    <w:p w14:paraId="7BEB7B69" w14:textId="77777777" w:rsidR="00C03E48" w:rsidRDefault="00000000">
      <w:pPr>
        <w:spacing w:after="400"/>
      </w:pPr>
      <w:r>
        <w:rPr>
          <w:i/>
          <w:iCs/>
          <w:color w:val="666666"/>
        </w:rPr>
        <w:t>Statistical analysis and regression modelling of WHO life expectancy data (2000–2015, 183 countries).</w:t>
      </w:r>
    </w:p>
    <w:p w14:paraId="13EA6030" w14:textId="77777777" w:rsidR="00C03E48" w:rsidRDefault="00000000">
      <w:pPr>
        <w:pStyle w:val="Heading1"/>
      </w:pPr>
      <w:r>
        <w:t>1. Project Overview</w:t>
      </w:r>
    </w:p>
    <w:p w14:paraId="2178BA6D" w14:textId="77777777" w:rsidR="00C03E48" w:rsidRDefault="00000000">
      <w:pPr>
        <w:spacing w:after="120"/>
      </w:pPr>
      <w:r>
        <w:t>This project analyses the WHO Life Expectancy dataset (2000–2015) covering 183 countries to identify the factors that most strongly predict national life expectancy. It replicates and extends the analysis from Project 1 (Power BI) using Python, pandas, and formal statistical modelling — applying techniques not available in Power BI including partial correlations, OLS regression with formal coefficients, VIF multicollinearity testing, and interaction terms.</w:t>
      </w:r>
    </w:p>
    <w:p w14:paraId="2F94A8C9" w14:textId="77777777" w:rsidR="00C03E48" w:rsidRDefault="00000000">
      <w:pPr>
        <w:pStyle w:val="Heading2"/>
      </w:pPr>
      <w:r>
        <w:t>1.1 Research Questions</w:t>
      </w:r>
    </w:p>
    <w:p w14:paraId="751C01E8" w14:textId="77777777" w:rsidR="00C03E48" w:rsidRDefault="00000000">
      <w:pPr>
        <w:pStyle w:val="ListParagraph"/>
        <w:numPr>
          <w:ilvl w:val="0"/>
          <w:numId w:val="2"/>
        </w:numPr>
        <w:spacing w:after="80"/>
      </w:pPr>
      <w:r>
        <w:t>Q1: Is there a disease where high death rate particularly lowers LE more than others?</w:t>
      </w:r>
    </w:p>
    <w:p w14:paraId="4E8207C8" w14:textId="77777777" w:rsidR="00C03E48" w:rsidRDefault="00000000">
      <w:pPr>
        <w:pStyle w:val="ListParagraph"/>
        <w:numPr>
          <w:ilvl w:val="0"/>
          <w:numId w:val="2"/>
        </w:numPr>
        <w:spacing w:after="80"/>
      </w:pPr>
      <w:r>
        <w:t>Q2: Is the impact of immunization coverage on LE greater in developing nations than developed ones?</w:t>
      </w:r>
    </w:p>
    <w:p w14:paraId="6D717013" w14:textId="77777777" w:rsidR="00C03E48" w:rsidRDefault="00000000">
      <w:pPr>
        <w:pStyle w:val="ListParagraph"/>
        <w:numPr>
          <w:ilvl w:val="0"/>
          <w:numId w:val="2"/>
        </w:numPr>
        <w:spacing w:after="80"/>
      </w:pPr>
      <w:r>
        <w:t>Q3: Do countries with higher ICOR have higher LE? (resource curse investigation)</w:t>
      </w:r>
    </w:p>
    <w:p w14:paraId="33E582BD" w14:textId="77777777" w:rsidR="00C03E48" w:rsidRDefault="00000000">
      <w:pPr>
        <w:pStyle w:val="ListParagraph"/>
        <w:numPr>
          <w:ilvl w:val="0"/>
          <w:numId w:val="2"/>
        </w:numPr>
        <w:spacing w:after="80"/>
      </w:pPr>
      <w:r>
        <w:t>Q4: What are the predicting variables actually affecting LE?</w:t>
      </w:r>
    </w:p>
    <w:p w14:paraId="06D54DA0" w14:textId="77777777" w:rsidR="00C03E48" w:rsidRDefault="00000000">
      <w:pPr>
        <w:pStyle w:val="ListParagraph"/>
        <w:numPr>
          <w:ilvl w:val="0"/>
          <w:numId w:val="2"/>
        </w:numPr>
        <w:spacing w:after="80"/>
      </w:pPr>
      <w:r>
        <w:t>Q5: Should a country with low LE (&lt;65) increase healthcare expenditure to improve lifespan?</w:t>
      </w:r>
    </w:p>
    <w:p w14:paraId="400FB91C" w14:textId="77777777" w:rsidR="00C03E48" w:rsidRDefault="00000000">
      <w:pPr>
        <w:pStyle w:val="ListParagraph"/>
        <w:numPr>
          <w:ilvl w:val="0"/>
          <w:numId w:val="2"/>
        </w:numPr>
        <w:spacing w:after="80"/>
      </w:pPr>
      <w:r>
        <w:t>Q6: How do infant and adult mortality rates affect LE?</w:t>
      </w:r>
    </w:p>
    <w:p w14:paraId="363D33AD" w14:textId="77777777" w:rsidR="00C03E48" w:rsidRDefault="00000000">
      <w:pPr>
        <w:pStyle w:val="ListParagraph"/>
        <w:numPr>
          <w:ilvl w:val="0"/>
          <w:numId w:val="2"/>
        </w:numPr>
        <w:spacing w:after="80"/>
      </w:pPr>
      <w:r>
        <w:t>Q7: Does LE correlate with eating habits, lifestyle, and alcohol?</w:t>
      </w:r>
    </w:p>
    <w:p w14:paraId="64F438C8" w14:textId="77777777" w:rsidR="00C03E48" w:rsidRDefault="00000000">
      <w:pPr>
        <w:pStyle w:val="ListParagraph"/>
        <w:numPr>
          <w:ilvl w:val="0"/>
          <w:numId w:val="2"/>
        </w:numPr>
        <w:spacing w:after="80"/>
      </w:pPr>
      <w:r>
        <w:t>Q8: What is the impact of schooling on LE?</w:t>
      </w:r>
    </w:p>
    <w:p w14:paraId="08332EB2" w14:textId="77777777" w:rsidR="00C03E48" w:rsidRDefault="00000000">
      <w:pPr>
        <w:pStyle w:val="Heading2"/>
      </w:pPr>
      <w:r>
        <w:t>1.2 Tools and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03E48" w14:paraId="2BBED370" w14:textId="77777777">
        <w:tc>
          <w:tcPr>
            <w:tcW w:w="2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E931491" w14:textId="77777777" w:rsidR="00C03E48" w:rsidRDefault="00000000">
            <w:r>
              <w:rPr>
                <w:b/>
                <w:bCs/>
                <w:color w:val="FFFFFF"/>
                <w:sz w:val="20"/>
                <w:szCs w:val="20"/>
              </w:rPr>
              <w:t>Tool / Library</w:t>
            </w:r>
          </w:p>
        </w:tc>
        <w:tc>
          <w:tcPr>
            <w:tcW w:w="6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B88D777" w14:textId="77777777" w:rsidR="00C03E48" w:rsidRDefault="00000000">
            <w:r>
              <w:rPr>
                <w:b/>
                <w:bCs/>
                <w:color w:val="FFFFFF"/>
                <w:sz w:val="20"/>
                <w:szCs w:val="20"/>
              </w:rPr>
              <w:t>Purpose</w:t>
            </w:r>
          </w:p>
        </w:tc>
      </w:tr>
      <w:tr w:rsidR="00C03E48" w14:paraId="3FDE674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2360B" w14:textId="77777777" w:rsidR="00C03E48" w:rsidRDefault="00000000">
            <w:r>
              <w:rPr>
                <w:sz w:val="20"/>
                <w:szCs w:val="20"/>
              </w:rPr>
              <w:t>pandas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03356" w14:textId="77777777" w:rsidR="00C03E48" w:rsidRDefault="00000000">
            <w:r>
              <w:rPr>
                <w:sz w:val="20"/>
                <w:szCs w:val="20"/>
              </w:rPr>
              <w:t>Data manipulation, cleaning, merging, grouping</w:t>
            </w:r>
          </w:p>
        </w:tc>
      </w:tr>
      <w:tr w:rsidR="00C03E48" w14:paraId="5065A13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DAE97" w14:textId="77777777" w:rsidR="00C03E48" w:rsidRDefault="00000000">
            <w:r>
              <w:rPr>
                <w:sz w:val="20"/>
                <w:szCs w:val="20"/>
              </w:rPr>
              <w:t>numpy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FCAD8" w14:textId="77777777" w:rsidR="00C03E48" w:rsidRDefault="00000000">
            <w:r>
              <w:rPr>
                <w:sz w:val="20"/>
                <w:szCs w:val="20"/>
              </w:rPr>
              <w:t>Numerical operations</w:t>
            </w:r>
          </w:p>
        </w:tc>
      </w:tr>
      <w:tr w:rsidR="00C03E48" w14:paraId="5B40C9C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60E79" w14:textId="77777777" w:rsidR="00C03E48" w:rsidRDefault="00000000">
            <w:r>
              <w:rPr>
                <w:sz w:val="20"/>
                <w:szCs w:val="20"/>
              </w:rPr>
              <w:t>matplotlib / seaborn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615D8" w14:textId="77777777" w:rsidR="00C03E48" w:rsidRDefault="00000000">
            <w:r>
              <w:rPr>
                <w:sz w:val="20"/>
                <w:szCs w:val="20"/>
              </w:rPr>
              <w:t>Static visualisation</w:t>
            </w:r>
          </w:p>
        </w:tc>
      </w:tr>
      <w:tr w:rsidR="00C03E48" w14:paraId="6D9F58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A7824" w14:textId="77777777" w:rsidR="00C03E48" w:rsidRDefault="00000000">
            <w:r>
              <w:rPr>
                <w:sz w:val="20"/>
                <w:szCs w:val="20"/>
              </w:rPr>
              <w:t>scipy.stats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FDF88" w14:textId="77777777" w:rsidR="00C03E48" w:rsidRDefault="00000000">
            <w:r>
              <w:rPr>
                <w:sz w:val="20"/>
                <w:szCs w:val="20"/>
              </w:rPr>
              <w:t>Pearson correlation with p-values</w:t>
            </w:r>
          </w:p>
        </w:tc>
      </w:tr>
      <w:tr w:rsidR="00C03E48" w14:paraId="19FC10F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65BD1" w14:textId="77777777" w:rsidR="00C03E48" w:rsidRDefault="00000000">
            <w:r>
              <w:rPr>
                <w:sz w:val="20"/>
                <w:szCs w:val="20"/>
              </w:rPr>
              <w:t>statsmodels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D0D82" w14:textId="77777777" w:rsidR="00C03E48" w:rsidRDefault="00000000">
            <w:r>
              <w:rPr>
                <w:sz w:val="20"/>
                <w:szCs w:val="20"/>
              </w:rPr>
              <w:t>OLS regression, VIF, LOWESS, ARIMA</w:t>
            </w:r>
          </w:p>
        </w:tc>
      </w:tr>
      <w:tr w:rsidR="00C03E48" w14:paraId="27BA01D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48ECD" w14:textId="77777777" w:rsidR="00C03E48" w:rsidRDefault="00000000">
            <w:r>
              <w:rPr>
                <w:sz w:val="20"/>
                <w:szCs w:val="20"/>
              </w:rPr>
              <w:t>sklearn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746F4" w14:textId="77777777" w:rsidR="00C03E48" w:rsidRDefault="00000000">
            <w:r>
              <w:rPr>
                <w:sz w:val="20"/>
                <w:szCs w:val="20"/>
              </w:rPr>
              <w:t>MinMaxScaler for normalisation, LinearRegression for partial correlations</w:t>
            </w:r>
          </w:p>
        </w:tc>
      </w:tr>
      <w:tr w:rsidR="00C03E48" w14:paraId="0A22E7D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5710B" w14:textId="77777777" w:rsidR="00C03E48" w:rsidRDefault="00000000">
            <w:r>
              <w:rPr>
                <w:sz w:val="20"/>
                <w:szCs w:val="20"/>
              </w:rPr>
              <w:t>plotly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E87F6" w14:textId="77777777" w:rsidR="00C03E48" w:rsidRDefault="00000000">
            <w:r>
              <w:rPr>
                <w:sz w:val="20"/>
                <w:szCs w:val="20"/>
              </w:rPr>
              <w:t>Interactive choropleth maps</w:t>
            </w:r>
          </w:p>
        </w:tc>
      </w:tr>
    </w:tbl>
    <w:p w14:paraId="78243C13" w14:textId="77777777" w:rsidR="00C03E48" w:rsidRDefault="00C03E48">
      <w:pPr>
        <w:spacing w:after="200"/>
      </w:pPr>
    </w:p>
    <w:p w14:paraId="2121AE79" w14:textId="77777777" w:rsidR="00C03E48" w:rsidRDefault="00000000">
      <w:pPr>
        <w:pStyle w:val="Heading1"/>
      </w:pPr>
      <w:r>
        <w:t>2. Data Sources</w:t>
      </w:r>
    </w:p>
    <w:p w14:paraId="242F1E51" w14:textId="77777777" w:rsidR="00C03E48" w:rsidRDefault="00000000">
      <w:pPr>
        <w:spacing w:after="120"/>
      </w:pPr>
      <w:r>
        <w:lastRenderedPageBreak/>
        <w:t>Primary: WHO Life Expectancy dataset from Kaggle (193 countries, 2000–2015, 22 columns). Supplementary: World Bank GDP per capita and Population (replacing unreliable WHO columns). WHO Region lookup table for geographic grouping. 27 country name mismatches reconciled between WHO and World Bank naming conventions.</w:t>
      </w:r>
    </w:p>
    <w:p w14:paraId="3EAAD268" w14:textId="77777777" w:rsidR="00C03E48" w:rsidRDefault="00000000">
      <w:pPr>
        <w:pStyle w:val="Heading1"/>
      </w:pPr>
      <w:r>
        <w:t>3. Exploratory Data Analysis</w:t>
      </w:r>
    </w:p>
    <w:p w14:paraId="3A56B679" w14:textId="77777777" w:rsidR="00C03E48" w:rsidRDefault="00000000">
      <w:pPr>
        <w:spacing w:after="120"/>
      </w:pPr>
      <w:r>
        <w:t>Dataset inspection covered data shape, data types, null counts per column, and descriptive statistics. Two anomaly detection approaches were applied: threshold-based scanning (flagging zeros and low values in percentage columns) and neighbour-based detection (comparing each value to adjacent years within each country, flagging values deviating &gt;50% from both neighbours). The neighbour-based approach caught data entry errors like Hepatitis B dropping from 76 to 7 then returning to 78 — values that pass absolute threshold checks but are clearly erroneous in context. Both scans implemented with a True/False toggle to avoid slowing notebook execution.</w:t>
      </w:r>
    </w:p>
    <w:p w14:paraId="2BA31FDE" w14:textId="77777777" w:rsidR="00C03E48" w:rsidRDefault="00000000">
      <w:pPr>
        <w:pStyle w:val="Heading1"/>
      </w:pPr>
      <w:r>
        <w:t>4. Data Cleaning</w:t>
      </w:r>
    </w:p>
    <w:p w14:paraId="2C0A4E4F" w14:textId="77777777" w:rsidR="00C03E48" w:rsidRDefault="00000000">
      <w:pPr>
        <w:pStyle w:val="Heading2"/>
      </w:pPr>
      <w:r>
        <w:t>4.1 Row Removal</w:t>
      </w:r>
    </w:p>
    <w:p w14:paraId="226AEB31" w14:textId="77777777" w:rsidR="00C03E48" w:rsidRDefault="00000000">
      <w:pPr>
        <w:spacing w:after="120"/>
      </w:pPr>
      <w:r>
        <w:t>South Sudan removed (founded 2011, pre-2011 data invalid). 10 countries removed with only a single 2013 row and null life expectancy (Cook Islands, Dominica, Marshall Islands, Monaco, Nauru, Niue, Palau, Saint Kitts and Nevis, San Marino, Tuvalu). Final dataset: 183 countries.</w:t>
      </w:r>
    </w:p>
    <w:p w14:paraId="7ACD7D01" w14:textId="77777777" w:rsidR="00C03E48" w:rsidRDefault="00000000">
      <w:pPr>
        <w:pStyle w:val="Heading2"/>
      </w:pPr>
      <w:r>
        <w:t>4.2 Column Name Cleaning</w:t>
      </w:r>
    </w:p>
    <w:p w14:paraId="38419722" w14:textId="77777777" w:rsidR="00C03E48" w:rsidRDefault="00000000">
      <w:pPr>
        <w:spacing w:after="120"/>
      </w:pPr>
      <w:r>
        <w:t>Inconsistent whitespace stripped from all column names using list comprehension. This must precede all other operations to prevent KeyError failures on column references.</w:t>
      </w:r>
    </w:p>
    <w:p w14:paraId="474FD249" w14:textId="77777777" w:rsidR="00C03E48" w:rsidRDefault="00000000">
      <w:pPr>
        <w:pStyle w:val="Heading2"/>
      </w:pPr>
      <w:r>
        <w:t>4.3 Encoding Fix</w:t>
      </w:r>
    </w:p>
    <w:p w14:paraId="5C4319AD" w14:textId="77777777" w:rsidR="00C03E48" w:rsidRDefault="00000000">
      <w:pPr>
        <w:spacing w:after="120"/>
      </w:pPr>
      <w:r>
        <w:t>Côte d'Ivoire appeared with garbled encoding (mojibake) in both WHO and World Bank files. Corrected in both sources before merging.</w:t>
      </w:r>
    </w:p>
    <w:p w14:paraId="153CF5EA" w14:textId="77777777" w:rsidR="00C03E48" w:rsidRDefault="00000000">
      <w:pPr>
        <w:pStyle w:val="Heading2"/>
      </w:pPr>
      <w:r>
        <w:t>4.4 Zero-to-Null Conversions</w:t>
      </w:r>
    </w:p>
    <w:p w14:paraId="5EB2D358" w14:textId="77777777" w:rsidR="00C03E48" w:rsidRDefault="00000000">
      <w:pPr>
        <w:spacing w:after="120"/>
      </w:pPr>
      <w:r>
        <w:t>ICOR zeros converted to NaN (represent non-recording, not genuine zero human development). Schooling zeros converted to NaN (no country has zero years of schooling).</w:t>
      </w:r>
    </w:p>
    <w:p w14:paraId="0D62BFCC" w14:textId="77777777" w:rsidR="00C03E48" w:rsidRDefault="00000000">
      <w:pPr>
        <w:pStyle w:val="Heading2"/>
      </w:pPr>
      <w:r>
        <w:t>4.5 Anomalous Value Correction</w:t>
      </w:r>
    </w:p>
    <w:p w14:paraId="2064AD02" w14:textId="77777777" w:rsidR="00C03E48" w:rsidRDefault="00000000">
      <w:pPr>
        <w:spacing w:after="120"/>
      </w:pPr>
      <w:r>
        <w:t>Hepatitis B, Polio, and Diphtheria all exhibited systematic single-digit errors (7, 8, 9) mid-series between values in the 70s–90s. Values below 10 replaced with NaN and forward-filled within each country. This was documented but unfixable in Project 1 (Power BI) — Python handles it in two lines per column.</w:t>
      </w:r>
    </w:p>
    <w:p w14:paraId="514DEC88" w14:textId="77777777" w:rsidR="00C03E48" w:rsidRDefault="00000000">
      <w:pPr>
        <w:pStyle w:val="Heading2"/>
      </w:pPr>
      <w:r>
        <w:t>4.6 Null Filling</w:t>
      </w:r>
    </w:p>
    <w:p w14:paraId="35781033" w14:textId="77777777" w:rsidR="00C03E48" w:rsidRDefault="00000000">
      <w:pPr>
        <w:spacing w:after="120"/>
      </w:pPr>
      <w:r>
        <w:lastRenderedPageBreak/>
        <w:t>Data sorted by Country and Year ascending before applying fills (critical — ffill/bfill depend on row order). Alcohol: forward-fill (2015 missing across all countries, filled from 2014). BMI, thinness 1-19, thinness 5-9: backward-fill from nearest later value.</w:t>
      </w:r>
    </w:p>
    <w:p w14:paraId="5A12327E" w14:textId="77777777" w:rsidR="00C03E48" w:rsidRDefault="00000000">
      <w:pPr>
        <w:pStyle w:val="Heading2"/>
      </w:pPr>
      <w:r>
        <w:t>4.7 External Data Merge</w:t>
      </w:r>
    </w:p>
    <w:p w14:paraId="0727EDEF" w14:textId="77777777" w:rsidR="00C03E48" w:rsidRDefault="00000000">
      <w:pPr>
        <w:spacing w:after="120"/>
      </w:pPr>
      <w:r>
        <w:t>WHO GDP and Population columns dropped and replaced with World Bank data via left merge on Country + Year. GDP backfilled from 2001 to 2000 (World Bank extract started at 2001). Côte d'Ivoire encoding corrected in World Bank files before merging.</w:t>
      </w:r>
    </w:p>
    <w:p w14:paraId="21DF9B5B" w14:textId="77777777" w:rsidR="00C03E48" w:rsidRDefault="00000000">
      <w:pPr>
        <w:pStyle w:val="Heading2"/>
      </w:pPr>
      <w:r>
        <w:t>4.8 Status Correction</w:t>
      </w:r>
    </w:p>
    <w:p w14:paraId="1A57A802" w14:textId="77777777" w:rsidR="00C03E48" w:rsidRDefault="00000000">
      <w:pPr>
        <w:spacing w:after="120"/>
      </w:pPr>
      <w:r>
        <w:t>14 countries reclassified from Developing to Developed based on World Bank classifications: Canada, Finland, France, Greece, Estonia, Israel, Republic of Korea, Qatar, UAE, Kuwait, Bahrain, Saudi Arabia, Russian Federation, Oman.</w:t>
      </w:r>
    </w:p>
    <w:p w14:paraId="2FD5262D" w14:textId="77777777" w:rsidR="00C03E48" w:rsidRDefault="00000000">
      <w:pPr>
        <w:pStyle w:val="Heading1"/>
      </w:pPr>
      <w:r>
        <w:t>5. Feature Engineering</w:t>
      </w:r>
    </w:p>
    <w:p w14:paraId="1F2650D6" w14:textId="77777777" w:rsidR="00C03E48" w:rsidRDefault="00000000">
      <w:pPr>
        <w:pStyle w:val="Heading2"/>
      </w:pPr>
      <w:r>
        <w:t>5.1 WHO Region</w:t>
      </w:r>
    </w:p>
    <w:p w14:paraId="1BF7D5F8" w14:textId="77777777" w:rsidR="00C03E48" w:rsidRDefault="00000000">
      <w:pPr>
        <w:spacing w:after="120"/>
      </w:pPr>
      <w:r>
        <w:t>Each country mapped to one of six WHO regions. Region distribution: African (46), European (49), Americas (33), Eastern Mediterranean (21), Western Pacific (21), South-East Asia (11).</w:t>
      </w:r>
    </w:p>
    <w:p w14:paraId="0DD855BA" w14:textId="77777777" w:rsidR="00C03E48" w:rsidRDefault="00000000">
      <w:pPr>
        <w:pStyle w:val="Heading2"/>
      </w:pPr>
      <w:r>
        <w:t>5.2 Banding Columns</w:t>
      </w:r>
    </w:p>
    <w:p w14:paraId="3F5D70C0" w14:textId="77777777" w:rsidR="00C03E48" w:rsidRDefault="00000000">
      <w:pPr>
        <w:spacing w:after="120"/>
      </w:pPr>
      <w:r>
        <w:t>LE Band: Low (&lt;60), Medium (60–74), High (≥75). GDP Band: Low (&lt;$1k), Middle ($1k–$10k), High (≥$10k).</w:t>
      </w:r>
    </w:p>
    <w:p w14:paraId="7EBB47B8" w14:textId="77777777" w:rsidR="00C03E48" w:rsidRDefault="00000000">
      <w:pPr>
        <w:pStyle w:val="Heading2"/>
      </w:pPr>
      <w:r>
        <w:t>5.3 Immunization Composite</w:t>
      </w:r>
    </w:p>
    <w:p w14:paraId="71BB531B" w14:textId="77777777" w:rsidR="00C03E48" w:rsidRDefault="00000000">
      <w:pPr>
        <w:spacing w:after="120"/>
      </w:pPr>
      <w:r>
        <w:t>Average of Polio, Diphtheria, and Hepatitis B coverage. Correlation with LE: 0.58.</w:t>
      </w:r>
    </w:p>
    <w:p w14:paraId="3A7016FD" w14:textId="77777777" w:rsidR="00C03E48" w:rsidRDefault="00000000">
      <w:pPr>
        <w:pStyle w:val="Heading2"/>
      </w:pPr>
      <w:r>
        <w:t>5.4 Disease Burden Score (Normalised)</w:t>
      </w:r>
    </w:p>
    <w:p w14:paraId="792EBC34" w14:textId="77777777" w:rsidR="00C03E48" w:rsidRDefault="00000000">
      <w:pPr>
        <w:spacing w:after="120"/>
      </w:pPr>
      <w:r>
        <w:t>All components min-max normalised to 0–1 scale before combining (vaccination columns inverted to represent unvaccinated %). Correlation with LE improved from –0.39 (Project 1, unnormalised) to –0.58 — a 49% improvement from proper normalisation.</w:t>
      </w:r>
    </w:p>
    <w:p w14:paraId="10F6FDFF" w14:textId="77777777" w:rsidR="00C03E48" w:rsidRDefault="00000000">
      <w:pPr>
        <w:pStyle w:val="Heading2"/>
      </w:pPr>
      <w:r>
        <w:t>5.5 Lifestyle Score (Weighted + Normalised)</w:t>
      </w:r>
    </w:p>
    <w:p w14:paraId="6E7AD0B6" w14:textId="77777777" w:rsidR="00C03E48" w:rsidRDefault="00000000">
      <w:pPr>
        <w:spacing w:after="120"/>
      </w:pPr>
      <w:r>
        <w:t>Components normalised then weighted: Schooling ×2, Alcohol ×0.5, BMI deviation ×0.5. Correlation with LE corrected from –0.59 (Project 1, misleading negative due to BMI dominating) to +0.61.</w:t>
      </w:r>
    </w:p>
    <w:p w14:paraId="78A5D558" w14:textId="77777777" w:rsidR="00C03E48" w:rsidRDefault="00000000">
      <w:r>
        <w:br w:type="page"/>
      </w:r>
    </w:p>
    <w:p w14:paraId="0CF67B4C" w14:textId="77777777" w:rsidR="00C03E48" w:rsidRDefault="00000000">
      <w:pPr>
        <w:pStyle w:val="Heading1"/>
      </w:pPr>
      <w:r>
        <w:lastRenderedPageBreak/>
        <w:t>6. Statistical Techniques</w:t>
      </w:r>
    </w:p>
    <w:p w14:paraId="66E4BC7E" w14:textId="77777777" w:rsidR="00C03E48" w:rsidRDefault="00000000">
      <w:pPr>
        <w:pStyle w:val="Heading2"/>
      </w:pPr>
      <w:r>
        <w:t>6.1 Pearson Correlation</w:t>
      </w:r>
    </w:p>
    <w:p w14:paraId="70201C37" w14:textId="77777777" w:rsidR="00C03E48" w:rsidRDefault="00000000">
      <w:pPr>
        <w:spacing w:after="120"/>
      </w:pPr>
      <w:r>
        <w:t>Measures linear relationship strength (–1 to +1). With 2,900 data points, even trivial correlations become statistically significant, so effect size (the r value) matters more than the p-value. Used as a first scan to identify where to investigate deeper.</w:t>
      </w:r>
    </w:p>
    <w:p w14:paraId="1AE76025" w14:textId="77777777" w:rsidR="00C03E48" w:rsidRDefault="00000000">
      <w:pPr>
        <w:pStyle w:val="Heading2"/>
      </w:pPr>
      <w:r>
        <w:t>6.2 Partial Correlation</w:t>
      </w:r>
    </w:p>
    <w:p w14:paraId="39603027" w14:textId="77777777" w:rsidR="00C03E48" w:rsidRDefault="00000000">
      <w:pPr>
        <w:spacing w:after="120"/>
      </w:pPr>
      <w:r>
        <w:t>Correlates two variables after removing the influence of confounders. Method: regress both X and Y on the control variables, then correlate the residuals. Applied to all key variables controlling for GDP per capita and WHO Region simultaneously.</w:t>
      </w:r>
    </w:p>
    <w:p w14:paraId="3A24114C" w14:textId="77777777" w:rsidR="00C03E48" w:rsidRDefault="00000000">
      <w:pPr>
        <w:spacing w:after="80"/>
      </w:pPr>
      <w:r>
        <w:rPr>
          <w:b/>
          <w:bCs/>
        </w:rPr>
        <w:t xml:space="preserve">Key finding: </w:t>
      </w:r>
      <w:r>
        <w:t>Percentage expenditure dropped 98.2%, Alcohol dropped 93.8%, Total expenditure dropped 85.1% — these relationships were almost entirely confounding with wealth. Immunization dropped 21–23% but retained strong significance. ICOR dropped only 22% (0.89 → 0.69), confirming it captures something beyond GDP alone.</w:t>
      </w:r>
    </w:p>
    <w:p w14:paraId="14B8753E" w14:textId="77777777" w:rsidR="00C03E48" w:rsidRDefault="00000000">
      <w:pPr>
        <w:pStyle w:val="Heading2"/>
      </w:pPr>
      <w:r>
        <w:t>6.3 OLS Regression</w:t>
      </w:r>
    </w:p>
    <w:p w14:paraId="03767CD5" w14:textId="77777777" w:rsidR="00C03E48" w:rsidRDefault="00000000">
      <w:pPr>
        <w:spacing w:after="120"/>
      </w:pPr>
      <w:r>
        <w:t>Predicts LE from all variables simultaneously. Full model R² = 0.886 (88.6% of variance explained). ICOR had the largest coefficient (39.45 in reduced model). HIV/AIDS coefficient of –0.39 means each unit increase costs ~0.4 years of LE.</w:t>
      </w:r>
    </w:p>
    <w:p w14:paraId="739F986B" w14:textId="77777777" w:rsidR="00C03E48" w:rsidRDefault="00000000">
      <w:pPr>
        <w:pStyle w:val="Heading2"/>
      </w:pPr>
      <w:r>
        <w:t>6.4 VIF (Multicollinearity)</w:t>
      </w:r>
    </w:p>
    <w:p w14:paraId="4CA7450B" w14:textId="77777777" w:rsidR="00C03E48" w:rsidRDefault="00000000">
      <w:pPr>
        <w:spacing w:after="120"/>
      </w:pPr>
      <w:r>
        <w:t>Detected severe collinearity: Polio/Diphtheria VIF &gt;500 (near-identical vaccination patterns), ICOR/Schooling VIF &gt;120 (both measure national development). A reduced model using Immunization Composite instead of three separate columns and dropping Schooling maintained R² = 0.887 while producing interpretable coefficients.</w:t>
      </w:r>
    </w:p>
    <w:p w14:paraId="4810A0B8" w14:textId="77777777" w:rsidR="00C03E48" w:rsidRDefault="00000000">
      <w:pPr>
        <w:pStyle w:val="Heading2"/>
      </w:pPr>
      <w:r>
        <w:t>6.5 Interaction Terms</w:t>
      </w:r>
    </w:p>
    <w:p w14:paraId="40F297FF" w14:textId="77777777" w:rsidR="00C03E48" w:rsidRDefault="00000000">
      <w:pPr>
        <w:spacing w:after="120"/>
      </w:pPr>
      <w:r>
        <w:t>Tested whether GDP’s effect on LE differs by development status. Result: GDP effect is ~10x stronger for developing countries (0.0008 years/$1) than developed (0.0001 years/$1). Interaction highly significant (p ≈ 0). Formally confirms the Preston Curve diminishing returns pattern.</w:t>
      </w:r>
    </w:p>
    <w:p w14:paraId="35BDF3B8" w14:textId="77777777" w:rsidR="00C03E48" w:rsidRDefault="00000000">
      <w:pPr>
        <w:pStyle w:val="Heading2"/>
      </w:pPr>
      <w:r>
        <w:t>6.6 Residual Analysis</w:t>
      </w:r>
    </w:p>
    <w:p w14:paraId="533BAAC4" w14:textId="77777777" w:rsidR="00C03E48" w:rsidRDefault="00000000">
      <w:pPr>
        <w:spacing w:after="120"/>
      </w:pPr>
      <w:r>
        <w:t>Top overachievers: Vanuatu (+5.7), Vietnam (+5.0), Nicaragua (+4.9). Top underperformers: Sierra Leone (–8.7), Angola (–8.1), Turkmenistan (–6.3). Equatorial Guinea (–4.5) confirmed the resource curse. Residuals averaged across all years per country for stability.</w:t>
      </w:r>
    </w:p>
    <w:p w14:paraId="331301A3" w14:textId="77777777" w:rsidR="00C03E48" w:rsidRDefault="00000000">
      <w:pPr>
        <w:pStyle w:val="Heading2"/>
      </w:pPr>
      <w:r>
        <w:t>6.7 Preston Curve</w:t>
      </w:r>
    </w:p>
    <w:p w14:paraId="7B329B49" w14:textId="77777777" w:rsidR="00C03E48" w:rsidRDefault="00000000">
      <w:pPr>
        <w:spacing w:after="120"/>
      </w:pPr>
      <w:r>
        <w:t>Log(GDP) explains 62% of LE variance vs 34% for linear GDP — nearly double. Confirms the foundational health economics finding that the marginal health benefit of wealth diminishes as countries get richer.</w:t>
      </w:r>
    </w:p>
    <w:p w14:paraId="5F7C2DE3" w14:textId="77777777" w:rsidR="00C03E48" w:rsidRDefault="00000000">
      <w:pPr>
        <w:pStyle w:val="Heading2"/>
      </w:pPr>
      <w:r>
        <w:lastRenderedPageBreak/>
        <w:t>6.8 LOWESS Smoothing</w:t>
      </w:r>
    </w:p>
    <w:p w14:paraId="39F94CBC" w14:textId="77777777" w:rsidR="00C03E48" w:rsidRDefault="00000000">
      <w:pPr>
        <w:spacing w:after="120"/>
      </w:pPr>
      <w:r>
        <w:t>Locally Weighted Scatterplot Smoothing reveals the actual shape of relationships without forcing linearity. Applied to GDP, Schooling, Immunization, ICOR, HIV/AIDS, and Adult Mortality vs LE. Key insight: GDP vs LE shows clear diminishing returns; ICOR vs LE is near-linear throughout its range.</w:t>
      </w:r>
    </w:p>
    <w:p w14:paraId="2C019806" w14:textId="77777777" w:rsidR="00C03E48" w:rsidRDefault="00000000">
      <w:r>
        <w:br w:type="page"/>
      </w:r>
    </w:p>
    <w:p w14:paraId="5431DBD8" w14:textId="77777777" w:rsidR="00C03E48" w:rsidRDefault="00000000">
      <w:pPr>
        <w:pStyle w:val="Heading1"/>
      </w:pPr>
      <w:r>
        <w:lastRenderedPageBreak/>
        <w:t>7. Research Question Answers</w:t>
      </w:r>
    </w:p>
    <w:p w14:paraId="17CBDA1E" w14:textId="77777777" w:rsidR="00C03E48" w:rsidRDefault="00000000">
      <w:pPr>
        <w:pStyle w:val="Heading2"/>
      </w:pPr>
      <w:r>
        <w:t>Q1 — Which Disease Most Affects LE?</w:t>
      </w:r>
    </w:p>
    <w:p w14:paraId="027B72EA" w14:textId="77777777" w:rsidR="00C03E48" w:rsidRDefault="00000000">
      <w:pPr>
        <w:spacing w:after="120"/>
      </w:pPr>
      <w:r>
        <w:t>HIV/AIDS is the dominant disease factor with a Pearson correlation of –0.56 and an OLS coefficient of –0.39. Each unit increase in HIV/AIDS deaths per 1,000 population is associated with approximately 0.4 fewer years of life expectancy. At rates of 30–50 per 1,000 (common in sub-Saharan Africa), this alone accounts for 12–20 years of lost LE. Measles has the weakest correlation (–0.16). Immunization variables (Polio, Diphtheria, Hep B) show positive correlations with LE but are highly collinear (VIF &gt;500), making their individual OLS coefficients unreliable — the composite measure is more appropriate.</w:t>
      </w:r>
    </w:p>
    <w:p w14:paraId="54F42F75" w14:textId="77777777" w:rsidR="00C03E48" w:rsidRDefault="00000000">
      <w:pPr>
        <w:pStyle w:val="Heading2"/>
      </w:pPr>
      <w:r>
        <w:t>Q2 — Immunization Impact: Developing vs Developed</w:t>
      </w:r>
    </w:p>
    <w:p w14:paraId="36CD7B0A" w14:textId="77777777" w:rsidR="00C03E48" w:rsidRDefault="00000000">
      <w:pPr>
        <w:spacing w:after="120"/>
      </w:pPr>
      <w:r>
        <w:t>Confirmed: immunization has substantially greater impact in developing nations. Subgroup OLS shows immunization coefficient of 0.296 years per 1% coverage increase in developing nations. In developed nations, the coefficient is negative (–0.137), indicating a ceiling effect where immunization coverage is already near-universal and other factors dominate LE variation. The developed-nation negative coefficient does not mean immunization is harmful — it reflects that within already-high-coverage countries, the remaining variation in coverage correlates with other unmeasured factors.</w:t>
      </w:r>
    </w:p>
    <w:p w14:paraId="03F60FD2" w14:textId="77777777" w:rsidR="00C03E48" w:rsidRDefault="00000000">
      <w:pPr>
        <w:pStyle w:val="Heading2"/>
      </w:pPr>
      <w:r>
        <w:t>Q3 — ICOR and the Resource Curse</w:t>
      </w:r>
    </w:p>
    <w:p w14:paraId="11C98EF5" w14:textId="77777777" w:rsidR="00C03E48" w:rsidRDefault="00000000">
      <w:pPr>
        <w:spacing w:after="120"/>
      </w:pPr>
      <w:r>
        <w:t>ICOR (r = 0.89) is a far stronger predictor of LE than raw GDP (r = 0.58). ICOR explains 79% of LE variance compared to GDP’s 34%. Z-score gap analysis (GDP z-score minus ICOR z-score) formally identifies resource curse countries — those with high GDP relative to their human development outcomes. This quantifies the pattern observed qualitatively in Project 1 with Equatorial Guinea.</w:t>
      </w:r>
    </w:p>
    <w:p w14:paraId="7C7E1229" w14:textId="77777777" w:rsidR="00C03E48" w:rsidRDefault="00000000">
      <w:pPr>
        <w:pStyle w:val="Heading2"/>
      </w:pPr>
      <w:r>
        <w:t>Q4 — Variable Importance</w:t>
      </w:r>
    </w:p>
    <w:p w14:paraId="0B8BA1D7" w14:textId="77777777" w:rsidR="00C03E48" w:rsidRDefault="00000000">
      <w:pPr>
        <w:spacing w:after="120"/>
      </w:pPr>
      <w:r>
        <w:t>ICOR (r = 0.89) is the strongest predictor, followed by Schooling (0.78), Adult Mortality (–0.69), and immunization variables (0.58–0.62). Project 1’s Key Influencers visual ranked Schooling #1, but VIF analysis reveals ICOR and Schooling are collinear (VIF &gt;120) — they measure overlapping aspects of national development. ICOR captures the broader concept more completely. The full OLS model explains 88.6% of LE variance. Population has no meaningful relationship with LE (r = 0.02, not significant).</w:t>
      </w:r>
    </w:p>
    <w:p w14:paraId="06CC5ACC" w14:textId="77777777" w:rsidR="00C03E48" w:rsidRDefault="00000000">
      <w:pPr>
        <w:pStyle w:val="Heading2"/>
      </w:pPr>
      <w:r>
        <w:t>Q5 — Healthcare Expenditure for Low-LE Countries</w:t>
      </w:r>
    </w:p>
    <w:p w14:paraId="68C40598" w14:textId="77777777" w:rsidR="00C03E48" w:rsidRDefault="00000000">
      <w:pPr>
        <w:spacing w:after="120"/>
      </w:pPr>
      <w:r>
        <w:t>Surprising finding: the overall expenditure–LE correlation is weak (r = 0.22), and for low-LE countries (&lt;65), the OLS coefficient controlling for GDP is actually negative (–0.38, p &lt; 0.001). This means that among the poorest countries, higher health spending as a percentage of GDP does not predict higher LE once you account for GDP itself. Project 1 estimated a positive effect of 0.8 years per 1% increase — the formal analysis contradicts this. The likely explanation: low-LE countries that spend a high percentage on health are often doing so because of crisis conditions (HIV/AIDS epidemics, conflict), not because spending is ineffective. The spending is reactive, not preventive.</w:t>
      </w:r>
    </w:p>
    <w:p w14:paraId="43178EFB" w14:textId="77777777" w:rsidR="00C03E48" w:rsidRDefault="00000000">
      <w:pPr>
        <w:pStyle w:val="Heading2"/>
      </w:pPr>
      <w:r>
        <w:t>Q6 — Mortality Rates and LE</w:t>
      </w:r>
    </w:p>
    <w:p w14:paraId="79D50933" w14:textId="77777777" w:rsidR="00C03E48" w:rsidRDefault="00000000">
      <w:pPr>
        <w:spacing w:after="120"/>
      </w:pPr>
      <w:r>
        <w:lastRenderedPageBreak/>
        <w:t>Adult Mortality has the strongest relationship (r = –0.69) because it directly measures deaths in the 15–60 age range. Infant deaths and under-five deaths have weaker correlations (–0.20 and –0.22) because they are raw counts, not rates — large countries have more deaths simply due to population size. A rate-based measure would show stronger correlation.</w:t>
      </w:r>
    </w:p>
    <w:p w14:paraId="7CCED772" w14:textId="77777777" w:rsidR="00C03E48" w:rsidRDefault="00000000">
      <w:pPr>
        <w:pStyle w:val="Heading2"/>
      </w:pPr>
      <w:r>
        <w:t>Q7 — Lifestyle Factors</w:t>
      </w:r>
    </w:p>
    <w:p w14:paraId="262C1C3D" w14:textId="77777777" w:rsidR="00C03E48" w:rsidRDefault="00000000">
      <w:pPr>
        <w:spacing w:after="120"/>
      </w:pPr>
      <w:r>
        <w:t>Alcohol (r = 0.40) and BMI (r = 0.57) show positive correlations with LE — counterintuitive but explained by wealth confounding. Partial correlation analysis confirms: Alcohol’s relationship drops 93.8% after controlling for GDP, and BMI drops 59.8%. These are proxy signals for economic development, not causal relationships. The weighted Lifestyle Score (r = 0.61) corrects the Project 1 version (r = –0.59) by normalising components and weighting Schooling appropriately.</w:t>
      </w:r>
    </w:p>
    <w:p w14:paraId="05441253" w14:textId="77777777" w:rsidR="00C03E48" w:rsidRDefault="00000000">
      <w:pPr>
        <w:pStyle w:val="Heading2"/>
      </w:pPr>
      <w:r>
        <w:t>Q8 — Schooling Impact</w:t>
      </w:r>
    </w:p>
    <w:p w14:paraId="1F7FBC8B" w14:textId="77777777" w:rsidR="00C03E48" w:rsidRDefault="00000000">
      <w:pPr>
        <w:spacing w:after="120"/>
      </w:pPr>
      <w:r>
        <w:t>Schooling has a strong raw correlation with LE (r = 0.78) and a partial correlation of 0.54 after controlling for GDP and Region (31.4% drop — moderate confounding). Simple OLS gives a coefficient of approximately 1.1 years of LE per additional year of schooling. Project 1’s Key Influencers estimated 0.886 per year. In the full multivariate model, Schooling’s coefficient flips negative because ICOR (VIF = 177) absorbs its effect. Schooling genuinely matters but its predictive power overlaps heavily with ICOR.</w:t>
      </w:r>
    </w:p>
    <w:p w14:paraId="0270D16E" w14:textId="77777777" w:rsidR="00C03E48" w:rsidRDefault="00000000">
      <w:pPr>
        <w:pStyle w:val="Heading2"/>
      </w:pPr>
      <w:r>
        <w:t>7.2 — Project 2 New Questions (enabled by statistical techniques)</w:t>
      </w:r>
    </w:p>
    <w:p w14:paraId="3D1F0D87" w14:textId="77777777" w:rsidR="00C03E48" w:rsidRDefault="00000000">
      <w:pPr>
        <w:spacing w:after="120"/>
      </w:pPr>
      <w:r>
        <w:rPr>
          <w:i/>
        </w:rPr>
        <w:t>These questions were not answerable in Project 1 due to Power BI’s analytical limitations. They arise naturally from the statistical tools available in Python.</w:t>
      </w:r>
    </w:p>
    <w:p w14:paraId="6B56C018" w14:textId="77777777" w:rsidR="00C03E48" w:rsidRDefault="00000000">
      <w:pPr>
        <w:pStyle w:val="Heading2"/>
      </w:pPr>
      <w:r>
        <w:t>What are the strongest predictors of life expectancy across countries?</w:t>
      </w:r>
    </w:p>
    <w:p w14:paraId="7A145792" w14:textId="77777777" w:rsidR="00C03E48" w:rsidRDefault="00000000">
      <w:pPr>
        <w:spacing w:after="120"/>
      </w:pPr>
      <w:r>
        <w:t>The full correlation ranking places ICOR first (r = 0.89), followed by Schooling (0.78), Adult Mortality (–0.69), and immunization variables (0.58–0.62). The OLS model explains 88.6% of LE variance. The reduced model (after removing collinear variables) identifies ICOR, HIV/AIDS, Immunization Composite, Adult Mortality, and Alcohol as the most reliable independent predictors — each with acceptable VIF and significant p-values.</w:t>
      </w:r>
    </w:p>
    <w:p w14:paraId="797069CE" w14:textId="77777777" w:rsidR="00C03E48" w:rsidRDefault="00000000">
      <w:pPr>
        <w:pStyle w:val="Heading2"/>
      </w:pPr>
      <w:r>
        <w:t>Does immunization coverage have an independent effect on LE after controlling for GDP and region?</w:t>
      </w:r>
    </w:p>
    <w:p w14:paraId="68980815" w14:textId="77777777" w:rsidR="00C03E48" w:rsidRDefault="00000000">
      <w:pPr>
        <w:spacing w:after="120"/>
      </w:pPr>
      <w:r>
        <w:t>Yes. Partial correlations show Immunization Composite drops from r = 0.58 to r = 0.45 after controlling for GDP and Region — a 22% reduction indicating some confounding with wealth. However, the partial correlation remains highly significant (p ≈ 0), confirming immunization has a genuine independent effect on LE. By comparison, Alcohol dropped 94% and percentage expenditure dropped 98% — those relationships were almost entirely confounding.</w:t>
      </w:r>
    </w:p>
    <w:p w14:paraId="2B7AFE66" w14:textId="77777777" w:rsidR="00C03E48" w:rsidRDefault="00000000">
      <w:pPr>
        <w:pStyle w:val="Heading2"/>
      </w:pPr>
      <w:r>
        <w:t>Does the GDP–LE relationship differ between developed and developing countries?</w:t>
      </w:r>
    </w:p>
    <w:p w14:paraId="287E50B2" w14:textId="77777777" w:rsidR="00C03E48" w:rsidRDefault="00000000">
      <w:pPr>
        <w:spacing w:after="120"/>
      </w:pPr>
      <w:r>
        <w:t xml:space="preserve">Yes, dramatically. The GDP × Status interaction term is highly significant (p ≈ 0). For developing countries, each $1 increase in GDP per capita is associated with 0.0008 years more LE. For </w:t>
      </w:r>
      <w:r>
        <w:lastRenderedPageBreak/>
        <w:t>developed countries, the effect is approximately 10 times weaker (0.0001 years per $1). Being classified as Developed gives a baseline boost of approximately 12 years independent of GDP. This formally confirms the Preston Curve diminishing returns pattern observed visually in Project 1.</w:t>
      </w:r>
    </w:p>
    <w:p w14:paraId="10EA74A4" w14:textId="77777777" w:rsidR="00C03E48" w:rsidRDefault="00000000">
      <w:pPr>
        <w:pStyle w:val="Heading2"/>
      </w:pPr>
      <w:r>
        <w:t>Which countries overachieve or underperform relative to their predicted LE?</w:t>
      </w:r>
    </w:p>
    <w:p w14:paraId="0D895EFE" w14:textId="77777777" w:rsidR="00C03E48" w:rsidRDefault="00000000">
      <w:pPr>
        <w:spacing w:after="120"/>
      </w:pPr>
      <w:r>
        <w:t>Residual analysis from the full OLS model identifies countries whose actual LE diverges most from their predicted LE. Top overachievers: Vanuatu (+5.7 years above predicted), Vietnam (+5.0), Nicaragua (+4.9), Ethiopia (+4.8), Honduras (+4.6). These are low-to-middle income countries achieving higher LE than their measurable characteristics predict — suggesting effective public health systems or cultural factors not captured in the data. Top underperformers: Sierra Leone (–8.7), Angola (–8.1), Turkmenistan (–6.3), Kazakhstan (–6.3), Russia (–5.8). Equatorial Guinea (–4.5) confirmed the resource curse pattern from Project 1. Notably, Sri Lanka did not appear in the top overachievers — once ICOR and Schooling are accounted for, its LE is actually predicted correctly. Its strong LE is explained by its investment in education and human development, not by an unexplained factor.</w:t>
      </w:r>
    </w:p>
    <w:p w14:paraId="6A0DFE94" w14:textId="77777777" w:rsidR="00C03E48" w:rsidRDefault="00000000">
      <w:pPr>
        <w:pStyle w:val="Heading2"/>
      </w:pPr>
      <w:r>
        <w:t>Can composite scores be constructed that meaningfully predict LE?</w:t>
      </w:r>
    </w:p>
    <w:p w14:paraId="35EC5878" w14:textId="77777777" w:rsidR="00C03E48" w:rsidRDefault="00000000">
      <w:pPr>
        <w:spacing w:after="120"/>
      </w:pPr>
      <w:r>
        <w:t>Yes, but proper normalisation is essential. The Disease Burden Score improved from r = –0.39 (Project 1, unnormalised) to r = –0.58 after min-max normalisation — a 49% improvement. The Lifestyle Score corrected from r = –0.59 (misleading negative caused by BMI deviation dominating the unweighted composite) to r = +0.61 after normalisation and weighting (Schooling ×2, Alcohol ×0.5, BMI deviation ×0.5). The Immunization Composite (r = 0.58) provides a reliable single immunization metric. All three composites add analytical value, but only when components are normalised to comparable scales before combining.</w:t>
      </w:r>
    </w:p>
    <w:p w14:paraId="470AD23A" w14:textId="77777777" w:rsidR="00C03E48" w:rsidRDefault="00000000">
      <w:pPr>
        <w:pStyle w:val="Heading2"/>
      </w:pPr>
      <w:r>
        <w:t>Is the GDP–LE relationship logarithmic (Preston Curve)?</w:t>
      </w:r>
    </w:p>
    <w:p w14:paraId="052FE4B9" w14:textId="77777777" w:rsidR="00C03E48" w:rsidRDefault="00000000">
      <w:pPr>
        <w:spacing w:after="120"/>
      </w:pPr>
      <w:r>
        <w:t>Yes. Log(GDP) explains 62% of LE variance compared to 34% for linear GDP — nearly double. The 28 percentage point improvement from one simple transformation confirms the foundational health economics finding first published by Samuel Preston in 1975: the marginal health benefit of national wealth diminishes as countries get richer. Each doubling of GDP produces roughly the same LE gain regardless of starting point. This has direct policy implications: health investment yields far greater LE returns in lower-income settings.</w:t>
      </w:r>
    </w:p>
    <w:p w14:paraId="19664508" w14:textId="77777777" w:rsidR="00C03E48" w:rsidRDefault="00000000">
      <w:r>
        <w:br w:type="page"/>
      </w:r>
    </w:p>
    <w:p w14:paraId="037303C0" w14:textId="77777777" w:rsidR="00C03E48" w:rsidRDefault="00000000">
      <w:pPr>
        <w:pStyle w:val="Heading1"/>
      </w:pPr>
      <w:r>
        <w:lastRenderedPageBreak/>
        <w:t>8. Project 1 vs Project 2 — Comparative Analysis</w:t>
      </w:r>
    </w:p>
    <w:p w14:paraId="6E6386EF" w14:textId="77777777" w:rsidR="00C03E48" w:rsidRDefault="00000000">
      <w:pPr>
        <w:spacing w:after="120"/>
      </w:pPr>
      <w:r>
        <w:rPr>
          <w:i/>
          <w:iCs/>
        </w:rPr>
        <w:t>This section documents specific improvements from moving to Python.</w:t>
      </w:r>
    </w:p>
    <w:p w14:paraId="7B3C62C6" w14:textId="77777777" w:rsidR="00C03E48" w:rsidRDefault="00000000">
      <w:pPr>
        <w:pStyle w:val="Heading2"/>
      </w:pPr>
      <w:r>
        <w:t>8.1 Key Influencers vs OLS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3E48" w14:paraId="098BC5F3" w14:textId="77777777">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6A6521F" w14:textId="77777777" w:rsidR="00C03E48"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5A94368" w14:textId="77777777" w:rsidR="00C03E48" w:rsidRDefault="00000000">
            <w:r>
              <w:rPr>
                <w:b/>
                <w:bCs/>
                <w:color w:val="FFFFFF"/>
                <w:sz w:val="20"/>
                <w:szCs w:val="20"/>
              </w:rPr>
              <w:t>Project 2 (Python)</w:t>
            </w:r>
          </w:p>
        </w:tc>
      </w:tr>
      <w:tr w:rsidR="00C03E48" w14:paraId="447282E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5B499" w14:textId="77777777" w:rsidR="00C03E48" w:rsidRDefault="00000000">
            <w:r>
              <w:rPr>
                <w:sz w:val="20"/>
                <w:szCs w:val="20"/>
              </w:rPr>
              <w:t>Key Influencers ranked Schooling #1. No coefficients, p-values, or confidence intervals. Black-box algorithm.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E29B2" w14:textId="77777777" w:rsidR="00C03E48" w:rsidRDefault="00000000">
            <w:r>
              <w:rPr>
                <w:sz w:val="20"/>
                <w:szCs w:val="20"/>
              </w:rPr>
              <w:t>OLS identifies ICOR (r = 0.89) as top predictor. Full coefficients with CIs. VIF revealed Schooling and ICOR are collinear — Key Influencers could not detect this.</w:t>
            </w:r>
          </w:p>
        </w:tc>
      </w:tr>
    </w:tbl>
    <w:p w14:paraId="7813DD42" w14:textId="77777777" w:rsidR="00C03E48" w:rsidRDefault="00C03E48">
      <w:pPr>
        <w:spacing w:after="200"/>
      </w:pPr>
    </w:p>
    <w:p w14:paraId="2D1C1FEB" w14:textId="77777777" w:rsidR="00C03E48" w:rsidRDefault="00000000">
      <w:pPr>
        <w:pStyle w:val="Heading2"/>
      </w:pPr>
      <w:r>
        <w:t>8.2 Confounding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3E48" w14:paraId="34B96D64" w14:textId="77777777">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B01466D" w14:textId="77777777" w:rsidR="00C03E48"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AF78515" w14:textId="77777777" w:rsidR="00C03E48" w:rsidRDefault="00000000">
            <w:r>
              <w:rPr>
                <w:b/>
                <w:bCs/>
                <w:color w:val="FFFFFF"/>
                <w:sz w:val="20"/>
                <w:szCs w:val="20"/>
              </w:rPr>
              <w:t>Project 2 (Python)</w:t>
            </w:r>
          </w:p>
        </w:tc>
      </w:tr>
      <w:tr w:rsidR="00C03E48" w14:paraId="7EE8E61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66B6C" w14:textId="77777777" w:rsidR="00C03E48" w:rsidRDefault="00000000">
            <w:r>
              <w:rPr>
                <w:sz w:val="20"/>
                <w:szCs w:val="20"/>
              </w:rPr>
              <w:t>Correlation only. Could see immunization and GDP both correlate with LE but could not separate the effects.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3DCC3" w14:textId="77777777" w:rsidR="00C03E48" w:rsidRDefault="00000000">
            <w:r>
              <w:rPr>
                <w:sz w:val="20"/>
                <w:szCs w:val="20"/>
              </w:rPr>
              <w:t>Partial correlations quantify confounding. Alcohol dropped 94%, expenditure dropped 98% (almost entirely confounding). Immunization dropped 22% but retained significance (genuine effect confirmed).</w:t>
            </w:r>
          </w:p>
        </w:tc>
      </w:tr>
    </w:tbl>
    <w:p w14:paraId="47D0554D" w14:textId="77777777" w:rsidR="00C03E48" w:rsidRDefault="00C03E48">
      <w:pPr>
        <w:spacing w:after="200"/>
      </w:pPr>
    </w:p>
    <w:p w14:paraId="1E654D81" w14:textId="77777777" w:rsidR="00C03E48" w:rsidRDefault="00000000">
      <w:pPr>
        <w:pStyle w:val="Heading2"/>
      </w:pPr>
      <w:r>
        <w:t>8.3 Composite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3E48" w14:paraId="01EE6B30" w14:textId="77777777">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F5B223C" w14:textId="77777777" w:rsidR="00C03E48"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63D1F81" w14:textId="77777777" w:rsidR="00C03E48" w:rsidRDefault="00000000">
            <w:r>
              <w:rPr>
                <w:b/>
                <w:bCs/>
                <w:color w:val="FFFFFF"/>
                <w:sz w:val="20"/>
                <w:szCs w:val="20"/>
              </w:rPr>
              <w:t>Project 2 (Python)</w:t>
            </w:r>
          </w:p>
        </w:tc>
      </w:tr>
      <w:tr w:rsidR="00C03E48" w14:paraId="3116E97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2C351" w14:textId="77777777" w:rsidR="00C03E48" w:rsidRDefault="00000000">
            <w:r>
              <w:rPr>
                <w:sz w:val="20"/>
                <w:szCs w:val="20"/>
              </w:rPr>
              <w:t>Disease Burden mixed raw counts and percentages. Correlation: –0.39.</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BBAB7" w14:textId="77777777" w:rsidR="00C03E48" w:rsidRDefault="00000000">
            <w:r>
              <w:rPr>
                <w:sz w:val="20"/>
                <w:szCs w:val="20"/>
              </w:rPr>
              <w:t>Min-max normalised. Correlation improved to –0.58 (49% stronger).</w:t>
            </w:r>
          </w:p>
        </w:tc>
      </w:tr>
      <w:tr w:rsidR="00C03E48" w14:paraId="3B7943A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7D5D8" w14:textId="77777777" w:rsidR="00C03E48" w:rsidRDefault="00000000">
            <w:r>
              <w:rPr>
                <w:sz w:val="20"/>
                <w:szCs w:val="20"/>
              </w:rPr>
              <w:t>Lifestyle Score unweighted. BMI dominated. Misleading r = –0.59.</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3A837" w14:textId="77777777" w:rsidR="00C03E48" w:rsidRDefault="00000000">
            <w:r>
              <w:rPr>
                <w:sz w:val="20"/>
                <w:szCs w:val="20"/>
              </w:rPr>
              <w:t>Weighted + normalised. Corrected to r = +0.61.</w:t>
            </w:r>
          </w:p>
        </w:tc>
      </w:tr>
    </w:tbl>
    <w:p w14:paraId="36248F25" w14:textId="77777777" w:rsidR="00C03E48" w:rsidRDefault="00C03E48">
      <w:pPr>
        <w:spacing w:after="200"/>
      </w:pPr>
    </w:p>
    <w:p w14:paraId="33944A7F" w14:textId="77777777" w:rsidR="00C03E48" w:rsidRDefault="00000000">
      <w:pPr>
        <w:pStyle w:val="Heading2"/>
      </w:pPr>
      <w:r>
        <w:t>8.4 What-If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3E48" w14:paraId="01898FB4" w14:textId="77777777">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AFAAB9F" w14:textId="77777777" w:rsidR="00C03E48"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D96E986" w14:textId="77777777" w:rsidR="00C03E48" w:rsidRDefault="00000000">
            <w:r>
              <w:rPr>
                <w:b/>
                <w:bCs/>
                <w:color w:val="FFFFFF"/>
                <w:sz w:val="20"/>
                <w:szCs w:val="20"/>
              </w:rPr>
              <w:t>Project 2 (Python)</w:t>
            </w:r>
          </w:p>
        </w:tc>
      </w:tr>
      <w:tr w:rsidR="00C03E48" w14:paraId="0388165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A8D96" w14:textId="77777777" w:rsidR="00C03E48" w:rsidRDefault="00000000">
            <w:r>
              <w:rPr>
                <w:sz w:val="20"/>
                <w:szCs w:val="20"/>
              </w:rPr>
              <w:t>Health expenditure multiplier of 0.8 (estimated). Immunization multiplier of 0.15 (estimated).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678E0" w14:textId="77777777" w:rsidR="00C03E48" w:rsidRDefault="00000000">
            <w:r>
              <w:rPr>
                <w:sz w:val="20"/>
                <w:szCs w:val="20"/>
              </w:rPr>
              <w:t>OLS for low-LE countries shows expenditure coefficient of –0.38 (controlling for GDP) — contradicts the estimate. Immunization coefficient of 0.296 for developing nations from subgroup regression.</w:t>
            </w:r>
          </w:p>
        </w:tc>
      </w:tr>
    </w:tbl>
    <w:p w14:paraId="16CE95A6" w14:textId="77777777" w:rsidR="00C03E48" w:rsidRDefault="00C03E48">
      <w:pPr>
        <w:spacing w:after="200"/>
      </w:pPr>
    </w:p>
    <w:p w14:paraId="0E4FCD10" w14:textId="77777777" w:rsidR="00C03E48" w:rsidRDefault="00000000">
      <w:pPr>
        <w:pStyle w:val="Heading2"/>
      </w:pPr>
      <w:r>
        <w:t>8.5 Healthcare Expenditure Finding Reversed</w:t>
      </w:r>
    </w:p>
    <w:p w14:paraId="267A846E" w14:textId="77777777" w:rsidR="00C03E48" w:rsidRDefault="00000000">
      <w:pPr>
        <w:spacing w:after="120"/>
      </w:pPr>
      <w:r>
        <w:t xml:space="preserve">Project 1 estimated that each 1% increase in health spending would yield 0.8 additional years of LE. Project 2’s formal analysis found the opposite for low-LE countries: the coefficient is negative (–0.38) when controlling for GDP. High health spending in the poorest countries is </w:t>
      </w:r>
      <w:r>
        <w:lastRenderedPageBreak/>
        <w:t>reactive (driven by crises) not preventive. This is arguably the most important finding difference between the two projects — it demonstrates why formal regression with controls matters and why correlation-based estimates can mislead.</w:t>
      </w:r>
    </w:p>
    <w:p w14:paraId="45372A7B" w14:textId="77777777" w:rsidR="00C03E48" w:rsidRDefault="00000000">
      <w:pPr>
        <w:pStyle w:val="Heading2"/>
      </w:pPr>
      <w:r>
        <w:t>8.6 Data Cleaning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3E48" w14:paraId="6F45DFEC" w14:textId="77777777">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0658533" w14:textId="77777777" w:rsidR="00C03E48"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1B3F18A" w14:textId="77777777" w:rsidR="00C03E48" w:rsidRDefault="00000000">
            <w:r>
              <w:rPr>
                <w:b/>
                <w:bCs/>
                <w:color w:val="FFFFFF"/>
                <w:sz w:val="20"/>
                <w:szCs w:val="20"/>
              </w:rPr>
              <w:t>Project 2 (Python)</w:t>
            </w:r>
          </w:p>
        </w:tc>
      </w:tr>
      <w:tr w:rsidR="00C03E48" w14:paraId="1C90B51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C41B1" w14:textId="77777777" w:rsidR="00C03E48" w:rsidRDefault="00000000">
            <w:r>
              <w:rPr>
                <w:sz w:val="20"/>
                <w:szCs w:val="20"/>
              </w:rPr>
              <w:t>Hep B anomalous values documented but unfixable without complex M code.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115DD" w14:textId="77777777" w:rsidR="00C03E48" w:rsidRDefault="00000000">
            <w:r>
              <w:rPr>
                <w:sz w:val="20"/>
                <w:szCs w:val="20"/>
              </w:rPr>
              <w:t>Two lines of Python per column. Extended to Polio and Diphtheria (same systematic error pattern).</w:t>
            </w:r>
          </w:p>
        </w:tc>
      </w:tr>
    </w:tbl>
    <w:p w14:paraId="767F620E" w14:textId="77777777" w:rsidR="00C03E48" w:rsidRDefault="00C03E48">
      <w:pPr>
        <w:spacing w:after="200"/>
      </w:pPr>
    </w:p>
    <w:p w14:paraId="0FE1B038" w14:textId="77777777" w:rsidR="00C03E48" w:rsidRDefault="00000000">
      <w:pPr>
        <w:pStyle w:val="Heading2"/>
      </w:pPr>
      <w:r>
        <w:t>8.7 Techniques Only Possible in Python</w:t>
      </w:r>
    </w:p>
    <w:p w14:paraId="60321501" w14:textId="77777777" w:rsidR="00C03E48" w:rsidRDefault="00000000">
      <w:pPr>
        <w:pStyle w:val="ListParagraph"/>
        <w:numPr>
          <w:ilvl w:val="0"/>
          <w:numId w:val="3"/>
        </w:numPr>
        <w:spacing w:after="80"/>
      </w:pPr>
      <w:r>
        <w:t>Partial correlations — no Power BI equivalent</w:t>
      </w:r>
    </w:p>
    <w:p w14:paraId="7C5CBE32" w14:textId="77777777" w:rsidR="00C03E48" w:rsidRDefault="00000000">
      <w:pPr>
        <w:pStyle w:val="ListParagraph"/>
        <w:numPr>
          <w:ilvl w:val="0"/>
          <w:numId w:val="3"/>
        </w:numPr>
        <w:spacing w:after="80"/>
      </w:pPr>
      <w:r>
        <w:t>OLS regression with formal coefficients, p-values, confidence intervals</w:t>
      </w:r>
    </w:p>
    <w:p w14:paraId="0CF98784" w14:textId="77777777" w:rsidR="00C03E48" w:rsidRDefault="00000000">
      <w:pPr>
        <w:pStyle w:val="ListParagraph"/>
        <w:numPr>
          <w:ilvl w:val="0"/>
          <w:numId w:val="3"/>
        </w:numPr>
        <w:spacing w:after="80"/>
      </w:pPr>
      <w:r>
        <w:t>VIF multicollinearity testing</w:t>
      </w:r>
    </w:p>
    <w:p w14:paraId="5BD09676" w14:textId="77777777" w:rsidR="00C03E48" w:rsidRDefault="00000000">
      <w:pPr>
        <w:pStyle w:val="ListParagraph"/>
        <w:numPr>
          <w:ilvl w:val="0"/>
          <w:numId w:val="3"/>
        </w:numPr>
        <w:spacing w:after="80"/>
      </w:pPr>
      <w:r>
        <w:t>Interaction terms (GDP × Status)</w:t>
      </w:r>
    </w:p>
    <w:p w14:paraId="6C291FF4" w14:textId="77777777" w:rsidR="00C03E48" w:rsidRDefault="00000000">
      <w:pPr>
        <w:pStyle w:val="ListParagraph"/>
        <w:numPr>
          <w:ilvl w:val="0"/>
          <w:numId w:val="3"/>
        </w:numPr>
        <w:spacing w:after="80"/>
      </w:pPr>
      <w:r>
        <w:t>Residual analysis for overachiever/underperformer identification</w:t>
      </w:r>
    </w:p>
    <w:p w14:paraId="00BBD3D9" w14:textId="77777777" w:rsidR="00C03E48" w:rsidRDefault="00000000">
      <w:pPr>
        <w:pStyle w:val="ListParagraph"/>
        <w:numPr>
          <w:ilvl w:val="0"/>
          <w:numId w:val="3"/>
        </w:numPr>
        <w:spacing w:after="80"/>
      </w:pPr>
      <w:r>
        <w:t>LOWESS smoothing curves</w:t>
      </w:r>
    </w:p>
    <w:p w14:paraId="40BAD737" w14:textId="77777777" w:rsidR="00C03E48" w:rsidRDefault="00000000">
      <w:pPr>
        <w:pStyle w:val="ListParagraph"/>
        <w:numPr>
          <w:ilvl w:val="0"/>
          <w:numId w:val="3"/>
        </w:numPr>
        <w:spacing w:after="80"/>
      </w:pPr>
      <w:r>
        <w:t>Min-max normalisation for composite scores</w:t>
      </w:r>
    </w:p>
    <w:p w14:paraId="5ADF3957" w14:textId="77777777" w:rsidR="00C03E48" w:rsidRDefault="00000000">
      <w:pPr>
        <w:pStyle w:val="ListParagraph"/>
        <w:numPr>
          <w:ilvl w:val="0"/>
          <w:numId w:val="3"/>
        </w:numPr>
        <w:spacing w:after="80"/>
      </w:pPr>
      <w:r>
        <w:t>Preston Curve formalisation with R² comparison</w:t>
      </w:r>
    </w:p>
    <w:p w14:paraId="40A7942D" w14:textId="77777777" w:rsidR="00C03E48" w:rsidRDefault="00000000">
      <w:pPr>
        <w:pStyle w:val="ListParagraph"/>
        <w:numPr>
          <w:ilvl w:val="0"/>
          <w:numId w:val="3"/>
        </w:numPr>
        <w:spacing w:after="80"/>
      </w:pPr>
      <w:r>
        <w:t>Z-score gap analysis for resource curse quantification</w:t>
      </w:r>
    </w:p>
    <w:p w14:paraId="77EC4674" w14:textId="77777777" w:rsidR="00A25D42" w:rsidRDefault="00000000">
      <w:pPr>
        <w:pStyle w:val="Heading1"/>
      </w:pPr>
      <w:r>
        <w:t>9. Time Series Analysis</w:t>
      </w:r>
    </w:p>
    <w:p w14:paraId="3E57D49D" w14:textId="77777777" w:rsidR="00A25D42" w:rsidRDefault="00000000">
      <w:pPr>
        <w:pStyle w:val="Heading2"/>
      </w:pPr>
      <w:r>
        <w:t>9.1 Population-Weighted Regional Averages</w:t>
      </w:r>
    </w:p>
    <w:p w14:paraId="4A846A45" w14:textId="77777777" w:rsidR="00A25D42" w:rsidRDefault="00000000">
      <w:pPr>
        <w:spacing w:after="120"/>
      </w:pPr>
      <w:r>
        <w:t>Project 1 used simple (unweighted) regional averages, which treat every country equally regardless of population. This produces a misleading picture in regions dominated by very large countries. Population-weighted averages correct this by weighting each country’s LE by its population share within the region.</w:t>
      </w:r>
    </w:p>
    <w:p w14:paraId="54EDADBC" w14:textId="77777777" w:rsidR="00A25D42" w:rsidRDefault="00000000">
      <w:pPr>
        <w:spacing w:after="80"/>
      </w:pPr>
      <w:r>
        <w:t>Key findings by region (weighted minus unweighted difference):</w:t>
      </w:r>
    </w:p>
    <w:p w14:paraId="3D2EE8E1" w14:textId="77777777" w:rsidR="00A25D42" w:rsidRDefault="00000000">
      <w:pPr>
        <w:spacing w:after="80"/>
        <w:ind w:left="720"/>
      </w:pPr>
      <w:r>
        <w:rPr>
          <w:b/>
        </w:rPr>
        <w:t xml:space="preserve">South-East Asia: –2.19 years. </w:t>
      </w:r>
      <w:r>
        <w:t>India (1.3 billion) has lower LE than smaller regional countries, pulling the true average down significantly. The simple average was flattering the region.</w:t>
      </w:r>
    </w:p>
    <w:p w14:paraId="4BA8C293" w14:textId="77777777" w:rsidR="00A25D42" w:rsidRDefault="00000000">
      <w:pPr>
        <w:spacing w:after="80"/>
        <w:ind w:left="720"/>
      </w:pPr>
      <w:r>
        <w:rPr>
          <w:b/>
        </w:rPr>
        <w:t xml:space="preserve">Eastern Mediterranean: –1.83 years. </w:t>
      </w:r>
      <w:r>
        <w:t>Pakistan and Egypt are the large-population anchors and both have below-average regional LE.</w:t>
      </w:r>
    </w:p>
    <w:p w14:paraId="243D5C24" w14:textId="77777777" w:rsidR="00A25D42" w:rsidRDefault="00000000">
      <w:pPr>
        <w:spacing w:after="80"/>
        <w:ind w:left="720"/>
      </w:pPr>
      <w:r>
        <w:rPr>
          <w:b/>
        </w:rPr>
        <w:t xml:space="preserve">African: –1.46 years. </w:t>
      </w:r>
      <w:r>
        <w:t>Nigeria, Ethiopia, and DRC are the most populous African nations and all have below-average continental LE.</w:t>
      </w:r>
    </w:p>
    <w:p w14:paraId="6104A9A4" w14:textId="77777777" w:rsidR="00A25D42" w:rsidRDefault="00000000">
      <w:pPr>
        <w:spacing w:after="80"/>
        <w:ind w:left="720"/>
      </w:pPr>
      <w:r>
        <w:rPr>
          <w:b/>
        </w:rPr>
        <w:t xml:space="preserve">Western Pacific: +2.44 years. </w:t>
      </w:r>
      <w:r>
        <w:t>China’s massive population and above-average LE pushes the weighted average above the simple average.</w:t>
      </w:r>
    </w:p>
    <w:p w14:paraId="0AECED3F" w14:textId="77777777" w:rsidR="00A25D42" w:rsidRDefault="00000000">
      <w:pPr>
        <w:spacing w:after="120"/>
        <w:ind w:left="720"/>
      </w:pPr>
      <w:r>
        <w:rPr>
          <w:b/>
        </w:rPr>
        <w:t xml:space="preserve">Americas: +2.11 years. </w:t>
      </w:r>
      <w:r>
        <w:t>The US and Brazil anchor the region and both have above-average regional LE.</w:t>
      </w:r>
    </w:p>
    <w:p w14:paraId="3E56363F" w14:textId="77777777" w:rsidR="00A25D42" w:rsidRDefault="00000000">
      <w:pPr>
        <w:pStyle w:val="Heading2"/>
      </w:pPr>
      <w:r>
        <w:lastRenderedPageBreak/>
        <w:t>9.2 ARIMA Forecasting</w:t>
      </w:r>
    </w:p>
    <w:p w14:paraId="0C6BD6BF" w14:textId="77777777" w:rsidR="00A25D42" w:rsidRDefault="00000000">
      <w:pPr>
        <w:spacing w:after="120"/>
      </w:pPr>
      <w:r>
        <w:t>ARIMA (Autoregressive Integrated Moving Average) was fitted to the global population-weighted LE trend from 2000 to 2015. An ARIMA(1,1,1) model was selected — one autoregressive term, first-order differencing to remove the trend, and one moving average term. This is a standard specification for trending health time series.</w:t>
      </w:r>
    </w:p>
    <w:p w14:paraId="201A1848" w14:textId="77777777" w:rsidR="00A25D42" w:rsidRDefault="00000000">
      <w:pPr>
        <w:spacing w:after="80"/>
      </w:pPr>
      <w:r>
        <w:rPr>
          <w:b/>
        </w:rPr>
        <w:t xml:space="preserve">Results: </w:t>
      </w:r>
      <w:r>
        <w:t>2015 actual: 71.97 years. 2025 forecast: 73.88 years. 95% confidence interval: 72.00–75.76 years. The model projects approximately 1.9 additional years of global LE by 2025, consistent with the 2000–2015 trend of 0.275 years per year.</w:t>
      </w:r>
    </w:p>
    <w:p w14:paraId="24225328" w14:textId="77777777" w:rsidR="00A25D42" w:rsidRDefault="00000000">
      <w:pPr>
        <w:spacing w:after="120"/>
      </w:pPr>
      <w:r>
        <w:rPr>
          <w:b/>
        </w:rPr>
        <w:t xml:space="preserve">Important caveat: </w:t>
      </w:r>
      <w:r>
        <w:t>The forecast assumes continuation of the 2000–2015 trend and cannot account for structural breaks. COVID-19 caused a documented global LE setback in 2020–2022. The actual 2025 figure is likely at the lower end of the confidence interval or just below it. This limitation is itself an analytical finding — it demonstrates why time series forecasts require domain knowledge to interpret correctly.</w:t>
      </w:r>
    </w:p>
    <w:p w14:paraId="53DCE691" w14:textId="77777777" w:rsidR="00A25D42" w:rsidRDefault="00000000">
      <w:pPr>
        <w:pStyle w:val="Heading2"/>
      </w:pPr>
      <w:r>
        <w:t>9.3 Changepoint Detection</w:t>
      </w:r>
    </w:p>
    <w:p w14:paraId="5C863BFD" w14:textId="77777777" w:rsidR="00A25D42" w:rsidRDefault="00000000">
      <w:pPr>
        <w:spacing w:after="120"/>
      </w:pPr>
      <w:r>
        <w:t>Year-over-year growth analysis tested whether the apparent plateau years seen in Project 1 (2004–2005 and 2009) represented genuine structural breaks. Methodology: flagging years where growth fell below 50% of the 2000–2015 average (0.275 years/year).</w:t>
      </w:r>
    </w:p>
    <w:p w14:paraId="24B847A8" w14:textId="77777777" w:rsidR="00A25D42" w:rsidRDefault="00000000">
      <w:pPr>
        <w:spacing w:after="80"/>
      </w:pPr>
      <w:r>
        <w:rPr>
          <w:b/>
        </w:rPr>
        <w:t xml:space="preserve">Result: </w:t>
      </w:r>
      <w:r>
        <w:t>Only 2002 met the threshold (growth of 0.11, 60% below average). The 2009–2010 slowdown showed below-average growth (0.26 and 0.16 respectively) but only 2010 approached the threshold. The “plateaus” observed in Project 1 are largely noise around a consistent upward trend, not true structural breaks. The global LE trend from 2000–2015 is remarkably steady at approximately 0.275 years per year.</w:t>
      </w:r>
    </w:p>
    <w:p w14:paraId="4CA1BD57" w14:textId="77777777" w:rsidR="00A25D42" w:rsidRDefault="00000000">
      <w:pPr>
        <w:pStyle w:val="Heading1"/>
      </w:pPr>
      <w:r>
        <w:t>10. Statistical Techniques Reference</w:t>
      </w:r>
    </w:p>
    <w:p w14:paraId="73E98D1E" w14:textId="77777777" w:rsidR="00A25D42" w:rsidRDefault="00000000">
      <w:pPr>
        <w:spacing w:after="120"/>
      </w:pPr>
      <w:r>
        <w:rPr>
          <w:i/>
        </w:rPr>
        <w:t>A reference list of all techniques used in this project for self-study and future application. Search each name on YouTube for a detailed tutorial.</w:t>
      </w:r>
    </w:p>
    <w:p w14:paraId="61D7A1EC" w14:textId="77777777" w:rsidR="00A25D42" w:rsidRDefault="00000000">
      <w:pPr>
        <w:spacing w:after="80"/>
      </w:pPr>
      <w:r>
        <w:rPr>
          <w:b/>
        </w:rPr>
        <w:t xml:space="preserve">1. Pearson Correlation </w:t>
      </w:r>
      <w:r>
        <w:t>— Search: “Pearson correlation coefficient explained”</w:t>
      </w:r>
    </w:p>
    <w:p w14:paraId="286BB579" w14:textId="77777777" w:rsidR="00A25D42" w:rsidRDefault="00000000">
      <w:pPr>
        <w:spacing w:after="80"/>
      </w:pPr>
      <w:r>
        <w:rPr>
          <w:b/>
        </w:rPr>
        <w:t xml:space="preserve">2. P-Value and Statistical Significance </w:t>
      </w:r>
      <w:r>
        <w:t>— Search: “p-value explained simply”</w:t>
      </w:r>
    </w:p>
    <w:p w14:paraId="471DBB86" w14:textId="77777777" w:rsidR="00A25D42" w:rsidRDefault="00000000">
      <w:pPr>
        <w:spacing w:after="80"/>
      </w:pPr>
      <w:r>
        <w:rPr>
          <w:b/>
        </w:rPr>
        <w:t xml:space="preserve">3. Partial Correlation </w:t>
      </w:r>
      <w:r>
        <w:t>— Search: “partial correlation vs correlation statistics”</w:t>
      </w:r>
    </w:p>
    <w:p w14:paraId="5AAFD1FA" w14:textId="77777777" w:rsidR="00A25D42" w:rsidRDefault="00000000">
      <w:pPr>
        <w:spacing w:after="80"/>
      </w:pPr>
      <w:r>
        <w:rPr>
          <w:b/>
        </w:rPr>
        <w:t xml:space="preserve">4. OLS Regression </w:t>
      </w:r>
      <w:r>
        <w:t>— Search: “ordinary least squares regression explained”</w:t>
      </w:r>
    </w:p>
    <w:p w14:paraId="26175CE8" w14:textId="77777777" w:rsidR="00A25D42" w:rsidRDefault="00000000">
      <w:pPr>
        <w:spacing w:after="80"/>
      </w:pPr>
      <w:r>
        <w:rPr>
          <w:b/>
        </w:rPr>
        <w:t xml:space="preserve">5. R-squared (R²) and Adjusted R² </w:t>
      </w:r>
      <w:r>
        <w:t>— Search: “R squared vs adjusted R squared regression”</w:t>
      </w:r>
    </w:p>
    <w:p w14:paraId="6953F823" w14:textId="77777777" w:rsidR="00A25D42" w:rsidRDefault="00000000">
      <w:pPr>
        <w:spacing w:after="80"/>
      </w:pPr>
      <w:r>
        <w:rPr>
          <w:b/>
        </w:rPr>
        <w:t xml:space="preserve">6. Confidence Intervals </w:t>
      </w:r>
      <w:r>
        <w:t>— Search: “confidence intervals explained statistics”</w:t>
      </w:r>
    </w:p>
    <w:p w14:paraId="556337F9" w14:textId="77777777" w:rsidR="00A25D42" w:rsidRDefault="00000000">
      <w:pPr>
        <w:spacing w:after="80"/>
      </w:pPr>
      <w:r>
        <w:rPr>
          <w:b/>
        </w:rPr>
        <w:t xml:space="preserve">7. VIF (Variance Inflation Factor) / Multicollinearity </w:t>
      </w:r>
      <w:r>
        <w:t>— Search: “multicollinearity VIF regression”</w:t>
      </w:r>
    </w:p>
    <w:p w14:paraId="5A671C74" w14:textId="77777777" w:rsidR="00A25D42" w:rsidRDefault="00000000">
      <w:pPr>
        <w:spacing w:after="80"/>
      </w:pPr>
      <w:r>
        <w:rPr>
          <w:b/>
        </w:rPr>
        <w:t xml:space="preserve">8. Interaction Terms in Regression </w:t>
      </w:r>
      <w:r>
        <w:t>— Search: “interaction terms regression interpretation”</w:t>
      </w:r>
    </w:p>
    <w:p w14:paraId="40BB758B" w14:textId="77777777" w:rsidR="00A25D42" w:rsidRDefault="00000000">
      <w:pPr>
        <w:spacing w:after="80"/>
      </w:pPr>
      <w:r>
        <w:rPr>
          <w:b/>
        </w:rPr>
        <w:t xml:space="preserve">9. Residual Analysis </w:t>
      </w:r>
      <w:r>
        <w:t>— Search: “regression residuals analysis interpretation”</w:t>
      </w:r>
    </w:p>
    <w:p w14:paraId="72992272" w14:textId="77777777" w:rsidR="00A25D42" w:rsidRDefault="00000000">
      <w:pPr>
        <w:spacing w:after="80"/>
      </w:pPr>
      <w:r>
        <w:rPr>
          <w:b/>
        </w:rPr>
        <w:t xml:space="preserve">10. LOWESS Smoothing </w:t>
      </w:r>
      <w:r>
        <w:t>— Search: “LOWESS smoothing scatter plot explained”</w:t>
      </w:r>
    </w:p>
    <w:p w14:paraId="77CB5E28" w14:textId="77777777" w:rsidR="00A25D42" w:rsidRDefault="00000000">
      <w:pPr>
        <w:spacing w:after="80"/>
      </w:pPr>
      <w:r>
        <w:rPr>
          <w:b/>
        </w:rPr>
        <w:t xml:space="preserve">11. Min-Max Normalisation </w:t>
      </w:r>
      <w:r>
        <w:t>— Search: “min-max normalisation feature scaling machine learning”</w:t>
      </w:r>
    </w:p>
    <w:p w14:paraId="4FE8105A" w14:textId="77777777" w:rsidR="00A25D42" w:rsidRDefault="00000000">
      <w:pPr>
        <w:spacing w:after="80"/>
      </w:pPr>
      <w:r>
        <w:rPr>
          <w:b/>
        </w:rPr>
        <w:t xml:space="preserve">12. Preston Curve (Log Transformation) </w:t>
      </w:r>
      <w:r>
        <w:t>— Search: “Preston curve GDP life expectancy health economics” and “log transformation regression”</w:t>
      </w:r>
    </w:p>
    <w:p w14:paraId="14C83539" w14:textId="77777777" w:rsidR="00A25D42" w:rsidRDefault="00000000">
      <w:pPr>
        <w:spacing w:after="80"/>
      </w:pPr>
      <w:r>
        <w:rPr>
          <w:b/>
        </w:rPr>
        <w:lastRenderedPageBreak/>
        <w:t xml:space="preserve">13. Z-Score Standardisation </w:t>
      </w:r>
      <w:r>
        <w:t>— Search: “z-score standardisation explained”</w:t>
      </w:r>
    </w:p>
    <w:p w14:paraId="5FAE8E18" w14:textId="77777777" w:rsidR="00A25D42" w:rsidRDefault="00000000">
      <w:pPr>
        <w:spacing w:after="80"/>
      </w:pPr>
      <w:r>
        <w:rPr>
          <w:b/>
        </w:rPr>
        <w:t xml:space="preserve">14. ARIMA Forecasting </w:t>
      </w:r>
      <w:r>
        <w:t>— Search: “ARIMA model time series forecasting explained”</w:t>
      </w:r>
    </w:p>
    <w:p w14:paraId="468E0603" w14:textId="77777777" w:rsidR="00A25D42" w:rsidRDefault="00000000">
      <w:pPr>
        <w:spacing w:after="80"/>
      </w:pPr>
      <w:r>
        <w:rPr>
          <w:b/>
        </w:rPr>
        <w:t xml:space="preserve">15. Changepoint Detection / Year-over-Year Analysis </w:t>
      </w:r>
      <w:r>
        <w:t>— Search: “changepoint detection time series”</w:t>
      </w:r>
    </w:p>
    <w:p w14:paraId="51896C04" w14:textId="77777777" w:rsidR="00A25D42" w:rsidRDefault="00000000">
      <w:pPr>
        <w:spacing w:after="120"/>
      </w:pPr>
      <w:r>
        <w:rPr>
          <w:b/>
        </w:rPr>
        <w:t xml:space="preserve">16. Population-Weighted Averages </w:t>
      </w:r>
      <w:r>
        <w:t>— Search: “weighted average vs simple average statistics”</w:t>
      </w:r>
    </w:p>
    <w:p w14:paraId="2001C7DF" w14:textId="77777777" w:rsidR="00A25D42" w:rsidRDefault="00000000">
      <w:pPr>
        <w:pStyle w:val="Heading1"/>
      </w:pPr>
      <w:r>
        <w:t>11. Next Steps</w:t>
      </w:r>
    </w:p>
    <w:p w14:paraId="7F5D777F" w14:textId="77777777" w:rsidR="00A25D42" w:rsidRDefault="00000000">
      <w:pPr>
        <w:spacing w:after="80"/>
      </w:pPr>
      <w:r>
        <w:t>Summary dashboard notebook (code-hidden visual report for non-technical audience)</w:t>
      </w:r>
    </w:p>
    <w:p w14:paraId="3FBE39E6" w14:textId="77777777" w:rsidR="00A25D42" w:rsidRDefault="00000000">
      <w:pPr>
        <w:spacing w:after="80"/>
      </w:pPr>
      <w:r>
        <w:t>LLM API integration for natural language forecast interpretation (Project 3)</w:t>
      </w:r>
    </w:p>
    <w:sectPr w:rsidR="00A25D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8A8"/>
    <w:multiLevelType w:val="hybridMultilevel"/>
    <w:tmpl w:val="8D48A27A"/>
    <w:lvl w:ilvl="0" w:tplc="9E4E9626">
      <w:start w:val="1"/>
      <w:numFmt w:val="bullet"/>
      <w:lvlText w:val="•"/>
      <w:lvlJc w:val="left"/>
      <w:pPr>
        <w:ind w:left="720" w:hanging="360"/>
      </w:pPr>
    </w:lvl>
    <w:lvl w:ilvl="1" w:tplc="99CEFAD4">
      <w:numFmt w:val="decimal"/>
      <w:lvlText w:val=""/>
      <w:lvlJc w:val="left"/>
    </w:lvl>
    <w:lvl w:ilvl="2" w:tplc="40AA4A9E">
      <w:numFmt w:val="decimal"/>
      <w:lvlText w:val=""/>
      <w:lvlJc w:val="left"/>
    </w:lvl>
    <w:lvl w:ilvl="3" w:tplc="E0666E9E">
      <w:numFmt w:val="decimal"/>
      <w:lvlText w:val=""/>
      <w:lvlJc w:val="left"/>
    </w:lvl>
    <w:lvl w:ilvl="4" w:tplc="32648F2C">
      <w:numFmt w:val="decimal"/>
      <w:lvlText w:val=""/>
      <w:lvlJc w:val="left"/>
    </w:lvl>
    <w:lvl w:ilvl="5" w:tplc="15363BE0">
      <w:numFmt w:val="decimal"/>
      <w:lvlText w:val=""/>
      <w:lvlJc w:val="left"/>
    </w:lvl>
    <w:lvl w:ilvl="6" w:tplc="8B98D406">
      <w:numFmt w:val="decimal"/>
      <w:lvlText w:val=""/>
      <w:lvlJc w:val="left"/>
    </w:lvl>
    <w:lvl w:ilvl="7" w:tplc="8D489A18">
      <w:numFmt w:val="decimal"/>
      <w:lvlText w:val=""/>
      <w:lvlJc w:val="left"/>
    </w:lvl>
    <w:lvl w:ilvl="8" w:tplc="3B64EF90">
      <w:numFmt w:val="decimal"/>
      <w:lvlText w:val=""/>
      <w:lvlJc w:val="left"/>
    </w:lvl>
  </w:abstractNum>
  <w:abstractNum w:abstractNumId="1" w15:restartNumberingAfterBreak="0">
    <w:nsid w:val="0C083369"/>
    <w:multiLevelType w:val="hybridMultilevel"/>
    <w:tmpl w:val="E5A2F318"/>
    <w:lvl w:ilvl="0" w:tplc="9E3AB58E">
      <w:start w:val="1"/>
      <w:numFmt w:val="bullet"/>
      <w:lvlText w:val="•"/>
      <w:lvlJc w:val="left"/>
      <w:pPr>
        <w:ind w:left="720" w:hanging="360"/>
      </w:pPr>
    </w:lvl>
    <w:lvl w:ilvl="1" w:tplc="A912830E">
      <w:numFmt w:val="decimal"/>
      <w:lvlText w:val=""/>
      <w:lvlJc w:val="left"/>
    </w:lvl>
    <w:lvl w:ilvl="2" w:tplc="18ACBC0A">
      <w:numFmt w:val="decimal"/>
      <w:lvlText w:val=""/>
      <w:lvlJc w:val="left"/>
    </w:lvl>
    <w:lvl w:ilvl="3" w:tplc="49BAB8E0">
      <w:numFmt w:val="decimal"/>
      <w:lvlText w:val=""/>
      <w:lvlJc w:val="left"/>
    </w:lvl>
    <w:lvl w:ilvl="4" w:tplc="136EEA1C">
      <w:numFmt w:val="decimal"/>
      <w:lvlText w:val=""/>
      <w:lvlJc w:val="left"/>
    </w:lvl>
    <w:lvl w:ilvl="5" w:tplc="B28C2890">
      <w:numFmt w:val="decimal"/>
      <w:lvlText w:val=""/>
      <w:lvlJc w:val="left"/>
    </w:lvl>
    <w:lvl w:ilvl="6" w:tplc="908E1300">
      <w:numFmt w:val="decimal"/>
      <w:lvlText w:val=""/>
      <w:lvlJc w:val="left"/>
    </w:lvl>
    <w:lvl w:ilvl="7" w:tplc="25AE11B8">
      <w:numFmt w:val="decimal"/>
      <w:lvlText w:val=""/>
      <w:lvlJc w:val="left"/>
    </w:lvl>
    <w:lvl w:ilvl="8" w:tplc="395AC0DA">
      <w:numFmt w:val="decimal"/>
      <w:lvlText w:val=""/>
      <w:lvlJc w:val="left"/>
    </w:lvl>
  </w:abstractNum>
  <w:abstractNum w:abstractNumId="2" w15:restartNumberingAfterBreak="0">
    <w:nsid w:val="1353051C"/>
    <w:multiLevelType w:val="hybridMultilevel"/>
    <w:tmpl w:val="51023950"/>
    <w:lvl w:ilvl="0" w:tplc="2C728046">
      <w:start w:val="1"/>
      <w:numFmt w:val="bullet"/>
      <w:lvlText w:val="•"/>
      <w:lvlJc w:val="left"/>
      <w:pPr>
        <w:ind w:left="720" w:hanging="360"/>
      </w:pPr>
    </w:lvl>
    <w:lvl w:ilvl="1" w:tplc="6464E8D4">
      <w:numFmt w:val="decimal"/>
      <w:lvlText w:val=""/>
      <w:lvlJc w:val="left"/>
    </w:lvl>
    <w:lvl w:ilvl="2" w:tplc="A4E45E98">
      <w:numFmt w:val="decimal"/>
      <w:lvlText w:val=""/>
      <w:lvlJc w:val="left"/>
    </w:lvl>
    <w:lvl w:ilvl="3" w:tplc="4260AC1A">
      <w:numFmt w:val="decimal"/>
      <w:lvlText w:val=""/>
      <w:lvlJc w:val="left"/>
    </w:lvl>
    <w:lvl w:ilvl="4" w:tplc="FE6E7E1E">
      <w:numFmt w:val="decimal"/>
      <w:lvlText w:val=""/>
      <w:lvlJc w:val="left"/>
    </w:lvl>
    <w:lvl w:ilvl="5" w:tplc="BB6EDF34">
      <w:numFmt w:val="decimal"/>
      <w:lvlText w:val=""/>
      <w:lvlJc w:val="left"/>
    </w:lvl>
    <w:lvl w:ilvl="6" w:tplc="71D0A468">
      <w:numFmt w:val="decimal"/>
      <w:lvlText w:val=""/>
      <w:lvlJc w:val="left"/>
    </w:lvl>
    <w:lvl w:ilvl="7" w:tplc="C6868048">
      <w:numFmt w:val="decimal"/>
      <w:lvlText w:val=""/>
      <w:lvlJc w:val="left"/>
    </w:lvl>
    <w:lvl w:ilvl="8" w:tplc="E05E2A30">
      <w:numFmt w:val="decimal"/>
      <w:lvlText w:val=""/>
      <w:lvlJc w:val="left"/>
    </w:lvl>
  </w:abstractNum>
  <w:abstractNum w:abstractNumId="3" w15:restartNumberingAfterBreak="0">
    <w:nsid w:val="15296A49"/>
    <w:multiLevelType w:val="hybridMultilevel"/>
    <w:tmpl w:val="A1EC787A"/>
    <w:lvl w:ilvl="0" w:tplc="6F6CFFD0">
      <w:start w:val="1"/>
      <w:numFmt w:val="bullet"/>
      <w:lvlText w:val="•"/>
      <w:lvlJc w:val="left"/>
      <w:pPr>
        <w:ind w:left="720" w:hanging="360"/>
      </w:pPr>
    </w:lvl>
    <w:lvl w:ilvl="1" w:tplc="9B8010B2">
      <w:numFmt w:val="decimal"/>
      <w:lvlText w:val=""/>
      <w:lvlJc w:val="left"/>
    </w:lvl>
    <w:lvl w:ilvl="2" w:tplc="FDBCCF0C">
      <w:numFmt w:val="decimal"/>
      <w:lvlText w:val=""/>
      <w:lvlJc w:val="left"/>
    </w:lvl>
    <w:lvl w:ilvl="3" w:tplc="9EF6C5A0">
      <w:numFmt w:val="decimal"/>
      <w:lvlText w:val=""/>
      <w:lvlJc w:val="left"/>
    </w:lvl>
    <w:lvl w:ilvl="4" w:tplc="12768E46">
      <w:numFmt w:val="decimal"/>
      <w:lvlText w:val=""/>
      <w:lvlJc w:val="left"/>
    </w:lvl>
    <w:lvl w:ilvl="5" w:tplc="83C8F4E0">
      <w:numFmt w:val="decimal"/>
      <w:lvlText w:val=""/>
      <w:lvlJc w:val="left"/>
    </w:lvl>
    <w:lvl w:ilvl="6" w:tplc="BAA033BC">
      <w:numFmt w:val="decimal"/>
      <w:lvlText w:val=""/>
      <w:lvlJc w:val="left"/>
    </w:lvl>
    <w:lvl w:ilvl="7" w:tplc="FCA8843C">
      <w:numFmt w:val="decimal"/>
      <w:lvlText w:val=""/>
      <w:lvlJc w:val="left"/>
    </w:lvl>
    <w:lvl w:ilvl="8" w:tplc="78DAACCE">
      <w:numFmt w:val="decimal"/>
      <w:lvlText w:val=""/>
      <w:lvlJc w:val="left"/>
    </w:lvl>
  </w:abstractNum>
  <w:abstractNum w:abstractNumId="4" w15:restartNumberingAfterBreak="0">
    <w:nsid w:val="19FC1CD7"/>
    <w:multiLevelType w:val="hybridMultilevel"/>
    <w:tmpl w:val="4B74F94C"/>
    <w:lvl w:ilvl="0" w:tplc="648EF3AE">
      <w:start w:val="1"/>
      <w:numFmt w:val="bullet"/>
      <w:lvlText w:val="•"/>
      <w:lvlJc w:val="left"/>
      <w:pPr>
        <w:ind w:left="720" w:hanging="360"/>
      </w:pPr>
    </w:lvl>
    <w:lvl w:ilvl="1" w:tplc="E59A0BEE">
      <w:numFmt w:val="decimal"/>
      <w:lvlText w:val=""/>
      <w:lvlJc w:val="left"/>
    </w:lvl>
    <w:lvl w:ilvl="2" w:tplc="F5AE9982">
      <w:numFmt w:val="decimal"/>
      <w:lvlText w:val=""/>
      <w:lvlJc w:val="left"/>
    </w:lvl>
    <w:lvl w:ilvl="3" w:tplc="BC5A5878">
      <w:numFmt w:val="decimal"/>
      <w:lvlText w:val=""/>
      <w:lvlJc w:val="left"/>
    </w:lvl>
    <w:lvl w:ilvl="4" w:tplc="4EDA7E76">
      <w:numFmt w:val="decimal"/>
      <w:lvlText w:val=""/>
      <w:lvlJc w:val="left"/>
    </w:lvl>
    <w:lvl w:ilvl="5" w:tplc="188896FE">
      <w:numFmt w:val="decimal"/>
      <w:lvlText w:val=""/>
      <w:lvlJc w:val="left"/>
    </w:lvl>
    <w:lvl w:ilvl="6" w:tplc="F5F67586">
      <w:numFmt w:val="decimal"/>
      <w:lvlText w:val=""/>
      <w:lvlJc w:val="left"/>
    </w:lvl>
    <w:lvl w:ilvl="7" w:tplc="2E88853E">
      <w:numFmt w:val="decimal"/>
      <w:lvlText w:val=""/>
      <w:lvlJc w:val="left"/>
    </w:lvl>
    <w:lvl w:ilvl="8" w:tplc="33B0329E">
      <w:numFmt w:val="decimal"/>
      <w:lvlText w:val=""/>
      <w:lvlJc w:val="left"/>
    </w:lvl>
  </w:abstractNum>
  <w:abstractNum w:abstractNumId="5" w15:restartNumberingAfterBreak="0">
    <w:nsid w:val="24325556"/>
    <w:multiLevelType w:val="hybridMultilevel"/>
    <w:tmpl w:val="148A3066"/>
    <w:lvl w:ilvl="0" w:tplc="048A7272">
      <w:start w:val="1"/>
      <w:numFmt w:val="bullet"/>
      <w:lvlText w:val="•"/>
      <w:lvlJc w:val="left"/>
      <w:pPr>
        <w:ind w:left="720" w:hanging="360"/>
      </w:pPr>
    </w:lvl>
    <w:lvl w:ilvl="1" w:tplc="003C748C">
      <w:numFmt w:val="decimal"/>
      <w:lvlText w:val=""/>
      <w:lvlJc w:val="left"/>
    </w:lvl>
    <w:lvl w:ilvl="2" w:tplc="81645C4E">
      <w:numFmt w:val="decimal"/>
      <w:lvlText w:val=""/>
      <w:lvlJc w:val="left"/>
    </w:lvl>
    <w:lvl w:ilvl="3" w:tplc="920EB078">
      <w:numFmt w:val="decimal"/>
      <w:lvlText w:val=""/>
      <w:lvlJc w:val="left"/>
    </w:lvl>
    <w:lvl w:ilvl="4" w:tplc="812AB63C">
      <w:numFmt w:val="decimal"/>
      <w:lvlText w:val=""/>
      <w:lvlJc w:val="left"/>
    </w:lvl>
    <w:lvl w:ilvl="5" w:tplc="A626807E">
      <w:numFmt w:val="decimal"/>
      <w:lvlText w:val=""/>
      <w:lvlJc w:val="left"/>
    </w:lvl>
    <w:lvl w:ilvl="6" w:tplc="CBC4BD44">
      <w:numFmt w:val="decimal"/>
      <w:lvlText w:val=""/>
      <w:lvlJc w:val="left"/>
    </w:lvl>
    <w:lvl w:ilvl="7" w:tplc="4E629860">
      <w:numFmt w:val="decimal"/>
      <w:lvlText w:val=""/>
      <w:lvlJc w:val="left"/>
    </w:lvl>
    <w:lvl w:ilvl="8" w:tplc="05329334">
      <w:numFmt w:val="decimal"/>
      <w:lvlText w:val=""/>
      <w:lvlJc w:val="left"/>
    </w:lvl>
  </w:abstractNum>
  <w:abstractNum w:abstractNumId="6" w15:restartNumberingAfterBreak="0">
    <w:nsid w:val="25270640"/>
    <w:multiLevelType w:val="hybridMultilevel"/>
    <w:tmpl w:val="0E3EB302"/>
    <w:lvl w:ilvl="0" w:tplc="FF6A32A6">
      <w:start w:val="1"/>
      <w:numFmt w:val="bullet"/>
      <w:lvlText w:val="•"/>
      <w:lvlJc w:val="left"/>
      <w:pPr>
        <w:ind w:left="720" w:hanging="360"/>
      </w:pPr>
    </w:lvl>
    <w:lvl w:ilvl="1" w:tplc="5202A14E">
      <w:numFmt w:val="decimal"/>
      <w:lvlText w:val=""/>
      <w:lvlJc w:val="left"/>
    </w:lvl>
    <w:lvl w:ilvl="2" w:tplc="B39AB0B8">
      <w:numFmt w:val="decimal"/>
      <w:lvlText w:val=""/>
      <w:lvlJc w:val="left"/>
    </w:lvl>
    <w:lvl w:ilvl="3" w:tplc="F438940A">
      <w:numFmt w:val="decimal"/>
      <w:lvlText w:val=""/>
      <w:lvlJc w:val="left"/>
    </w:lvl>
    <w:lvl w:ilvl="4" w:tplc="CB1EB944">
      <w:numFmt w:val="decimal"/>
      <w:lvlText w:val=""/>
      <w:lvlJc w:val="left"/>
    </w:lvl>
    <w:lvl w:ilvl="5" w:tplc="044051C0">
      <w:numFmt w:val="decimal"/>
      <w:lvlText w:val=""/>
      <w:lvlJc w:val="left"/>
    </w:lvl>
    <w:lvl w:ilvl="6" w:tplc="C20838BC">
      <w:numFmt w:val="decimal"/>
      <w:lvlText w:val=""/>
      <w:lvlJc w:val="left"/>
    </w:lvl>
    <w:lvl w:ilvl="7" w:tplc="0A02361E">
      <w:numFmt w:val="decimal"/>
      <w:lvlText w:val=""/>
      <w:lvlJc w:val="left"/>
    </w:lvl>
    <w:lvl w:ilvl="8" w:tplc="8934271A">
      <w:numFmt w:val="decimal"/>
      <w:lvlText w:val=""/>
      <w:lvlJc w:val="left"/>
    </w:lvl>
  </w:abstractNum>
  <w:abstractNum w:abstractNumId="7" w15:restartNumberingAfterBreak="0">
    <w:nsid w:val="25376248"/>
    <w:multiLevelType w:val="hybridMultilevel"/>
    <w:tmpl w:val="59B610E8"/>
    <w:lvl w:ilvl="0" w:tplc="D00CEC54">
      <w:start w:val="1"/>
      <w:numFmt w:val="bullet"/>
      <w:lvlText w:val="•"/>
      <w:lvlJc w:val="left"/>
      <w:pPr>
        <w:ind w:left="720" w:hanging="360"/>
      </w:pPr>
    </w:lvl>
    <w:lvl w:ilvl="1" w:tplc="180ABB64">
      <w:numFmt w:val="decimal"/>
      <w:lvlText w:val=""/>
      <w:lvlJc w:val="left"/>
    </w:lvl>
    <w:lvl w:ilvl="2" w:tplc="8E46AB06">
      <w:numFmt w:val="decimal"/>
      <w:lvlText w:val=""/>
      <w:lvlJc w:val="left"/>
    </w:lvl>
    <w:lvl w:ilvl="3" w:tplc="864CB93A">
      <w:numFmt w:val="decimal"/>
      <w:lvlText w:val=""/>
      <w:lvlJc w:val="left"/>
    </w:lvl>
    <w:lvl w:ilvl="4" w:tplc="634CF480">
      <w:numFmt w:val="decimal"/>
      <w:lvlText w:val=""/>
      <w:lvlJc w:val="left"/>
    </w:lvl>
    <w:lvl w:ilvl="5" w:tplc="7E1A0E26">
      <w:numFmt w:val="decimal"/>
      <w:lvlText w:val=""/>
      <w:lvlJc w:val="left"/>
    </w:lvl>
    <w:lvl w:ilvl="6" w:tplc="4BC4067C">
      <w:numFmt w:val="decimal"/>
      <w:lvlText w:val=""/>
      <w:lvlJc w:val="left"/>
    </w:lvl>
    <w:lvl w:ilvl="7" w:tplc="133644B8">
      <w:numFmt w:val="decimal"/>
      <w:lvlText w:val=""/>
      <w:lvlJc w:val="left"/>
    </w:lvl>
    <w:lvl w:ilvl="8" w:tplc="D99274BC">
      <w:numFmt w:val="decimal"/>
      <w:lvlText w:val=""/>
      <w:lvlJc w:val="left"/>
    </w:lvl>
  </w:abstractNum>
  <w:abstractNum w:abstractNumId="8" w15:restartNumberingAfterBreak="0">
    <w:nsid w:val="31775FF9"/>
    <w:multiLevelType w:val="hybridMultilevel"/>
    <w:tmpl w:val="240A12AC"/>
    <w:lvl w:ilvl="0" w:tplc="8C3C509A">
      <w:start w:val="1"/>
      <w:numFmt w:val="bullet"/>
      <w:lvlText w:val="•"/>
      <w:lvlJc w:val="left"/>
      <w:pPr>
        <w:ind w:left="720" w:hanging="360"/>
      </w:pPr>
    </w:lvl>
    <w:lvl w:ilvl="1" w:tplc="B1521642">
      <w:numFmt w:val="decimal"/>
      <w:lvlText w:val=""/>
      <w:lvlJc w:val="left"/>
    </w:lvl>
    <w:lvl w:ilvl="2" w:tplc="3DF42496">
      <w:numFmt w:val="decimal"/>
      <w:lvlText w:val=""/>
      <w:lvlJc w:val="left"/>
    </w:lvl>
    <w:lvl w:ilvl="3" w:tplc="D1ECDB68">
      <w:numFmt w:val="decimal"/>
      <w:lvlText w:val=""/>
      <w:lvlJc w:val="left"/>
    </w:lvl>
    <w:lvl w:ilvl="4" w:tplc="B3487376">
      <w:numFmt w:val="decimal"/>
      <w:lvlText w:val=""/>
      <w:lvlJc w:val="left"/>
    </w:lvl>
    <w:lvl w:ilvl="5" w:tplc="18A82550">
      <w:numFmt w:val="decimal"/>
      <w:lvlText w:val=""/>
      <w:lvlJc w:val="left"/>
    </w:lvl>
    <w:lvl w:ilvl="6" w:tplc="EDF46488">
      <w:numFmt w:val="decimal"/>
      <w:lvlText w:val=""/>
      <w:lvlJc w:val="left"/>
    </w:lvl>
    <w:lvl w:ilvl="7" w:tplc="364C6C84">
      <w:numFmt w:val="decimal"/>
      <w:lvlText w:val=""/>
      <w:lvlJc w:val="left"/>
    </w:lvl>
    <w:lvl w:ilvl="8" w:tplc="5E4013AC">
      <w:numFmt w:val="decimal"/>
      <w:lvlText w:val=""/>
      <w:lvlJc w:val="left"/>
    </w:lvl>
  </w:abstractNum>
  <w:abstractNum w:abstractNumId="9" w15:restartNumberingAfterBreak="0">
    <w:nsid w:val="332543C5"/>
    <w:multiLevelType w:val="hybridMultilevel"/>
    <w:tmpl w:val="3F7C011A"/>
    <w:lvl w:ilvl="0" w:tplc="7E2273E0">
      <w:start w:val="1"/>
      <w:numFmt w:val="bullet"/>
      <w:lvlText w:val="•"/>
      <w:lvlJc w:val="left"/>
      <w:pPr>
        <w:ind w:left="720" w:hanging="360"/>
      </w:pPr>
    </w:lvl>
    <w:lvl w:ilvl="1" w:tplc="D1F4FD38">
      <w:numFmt w:val="decimal"/>
      <w:lvlText w:val=""/>
      <w:lvlJc w:val="left"/>
    </w:lvl>
    <w:lvl w:ilvl="2" w:tplc="030C66AA">
      <w:numFmt w:val="decimal"/>
      <w:lvlText w:val=""/>
      <w:lvlJc w:val="left"/>
    </w:lvl>
    <w:lvl w:ilvl="3" w:tplc="0FEADF06">
      <w:numFmt w:val="decimal"/>
      <w:lvlText w:val=""/>
      <w:lvlJc w:val="left"/>
    </w:lvl>
    <w:lvl w:ilvl="4" w:tplc="84D0A73E">
      <w:numFmt w:val="decimal"/>
      <w:lvlText w:val=""/>
      <w:lvlJc w:val="left"/>
    </w:lvl>
    <w:lvl w:ilvl="5" w:tplc="8628546A">
      <w:numFmt w:val="decimal"/>
      <w:lvlText w:val=""/>
      <w:lvlJc w:val="left"/>
    </w:lvl>
    <w:lvl w:ilvl="6" w:tplc="CA363174">
      <w:numFmt w:val="decimal"/>
      <w:lvlText w:val=""/>
      <w:lvlJc w:val="left"/>
    </w:lvl>
    <w:lvl w:ilvl="7" w:tplc="C02009DA">
      <w:numFmt w:val="decimal"/>
      <w:lvlText w:val=""/>
      <w:lvlJc w:val="left"/>
    </w:lvl>
    <w:lvl w:ilvl="8" w:tplc="420E7730">
      <w:numFmt w:val="decimal"/>
      <w:lvlText w:val=""/>
      <w:lvlJc w:val="left"/>
    </w:lvl>
  </w:abstractNum>
  <w:abstractNum w:abstractNumId="10" w15:restartNumberingAfterBreak="0">
    <w:nsid w:val="341123A7"/>
    <w:multiLevelType w:val="hybridMultilevel"/>
    <w:tmpl w:val="DC96DF36"/>
    <w:lvl w:ilvl="0" w:tplc="BF582430">
      <w:start w:val="1"/>
      <w:numFmt w:val="bullet"/>
      <w:lvlText w:val="•"/>
      <w:lvlJc w:val="left"/>
      <w:pPr>
        <w:ind w:left="720" w:hanging="360"/>
      </w:pPr>
    </w:lvl>
    <w:lvl w:ilvl="1" w:tplc="C5ECA3E2">
      <w:numFmt w:val="decimal"/>
      <w:lvlText w:val=""/>
      <w:lvlJc w:val="left"/>
    </w:lvl>
    <w:lvl w:ilvl="2" w:tplc="A59A9698">
      <w:numFmt w:val="decimal"/>
      <w:lvlText w:val=""/>
      <w:lvlJc w:val="left"/>
    </w:lvl>
    <w:lvl w:ilvl="3" w:tplc="E9865CC4">
      <w:numFmt w:val="decimal"/>
      <w:lvlText w:val=""/>
      <w:lvlJc w:val="left"/>
    </w:lvl>
    <w:lvl w:ilvl="4" w:tplc="1FB49C44">
      <w:numFmt w:val="decimal"/>
      <w:lvlText w:val=""/>
      <w:lvlJc w:val="left"/>
    </w:lvl>
    <w:lvl w:ilvl="5" w:tplc="8BA6FEB0">
      <w:numFmt w:val="decimal"/>
      <w:lvlText w:val=""/>
      <w:lvlJc w:val="left"/>
    </w:lvl>
    <w:lvl w:ilvl="6" w:tplc="2C82CD24">
      <w:numFmt w:val="decimal"/>
      <w:lvlText w:val=""/>
      <w:lvlJc w:val="left"/>
    </w:lvl>
    <w:lvl w:ilvl="7" w:tplc="7F402626">
      <w:numFmt w:val="decimal"/>
      <w:lvlText w:val=""/>
      <w:lvlJc w:val="left"/>
    </w:lvl>
    <w:lvl w:ilvl="8" w:tplc="0388BB00">
      <w:numFmt w:val="decimal"/>
      <w:lvlText w:val=""/>
      <w:lvlJc w:val="left"/>
    </w:lvl>
  </w:abstractNum>
  <w:abstractNum w:abstractNumId="11" w15:restartNumberingAfterBreak="0">
    <w:nsid w:val="34AB3E73"/>
    <w:multiLevelType w:val="hybridMultilevel"/>
    <w:tmpl w:val="0024A372"/>
    <w:lvl w:ilvl="0" w:tplc="BBD43E28">
      <w:start w:val="1"/>
      <w:numFmt w:val="bullet"/>
      <w:lvlText w:val="•"/>
      <w:lvlJc w:val="left"/>
      <w:pPr>
        <w:ind w:left="720" w:hanging="360"/>
      </w:pPr>
    </w:lvl>
    <w:lvl w:ilvl="1" w:tplc="FDAC54AE">
      <w:numFmt w:val="decimal"/>
      <w:lvlText w:val=""/>
      <w:lvlJc w:val="left"/>
    </w:lvl>
    <w:lvl w:ilvl="2" w:tplc="E800C9A2">
      <w:numFmt w:val="decimal"/>
      <w:lvlText w:val=""/>
      <w:lvlJc w:val="left"/>
    </w:lvl>
    <w:lvl w:ilvl="3" w:tplc="EE665EBA">
      <w:numFmt w:val="decimal"/>
      <w:lvlText w:val=""/>
      <w:lvlJc w:val="left"/>
    </w:lvl>
    <w:lvl w:ilvl="4" w:tplc="7124DAE0">
      <w:numFmt w:val="decimal"/>
      <w:lvlText w:val=""/>
      <w:lvlJc w:val="left"/>
    </w:lvl>
    <w:lvl w:ilvl="5" w:tplc="5A2CAC80">
      <w:numFmt w:val="decimal"/>
      <w:lvlText w:val=""/>
      <w:lvlJc w:val="left"/>
    </w:lvl>
    <w:lvl w:ilvl="6" w:tplc="3E303846">
      <w:numFmt w:val="decimal"/>
      <w:lvlText w:val=""/>
      <w:lvlJc w:val="left"/>
    </w:lvl>
    <w:lvl w:ilvl="7" w:tplc="3A3A548E">
      <w:numFmt w:val="decimal"/>
      <w:lvlText w:val=""/>
      <w:lvlJc w:val="left"/>
    </w:lvl>
    <w:lvl w:ilvl="8" w:tplc="210041C6">
      <w:numFmt w:val="decimal"/>
      <w:lvlText w:val=""/>
      <w:lvlJc w:val="left"/>
    </w:lvl>
  </w:abstractNum>
  <w:abstractNum w:abstractNumId="12" w15:restartNumberingAfterBreak="0">
    <w:nsid w:val="38C802BF"/>
    <w:multiLevelType w:val="hybridMultilevel"/>
    <w:tmpl w:val="055271B0"/>
    <w:lvl w:ilvl="0" w:tplc="F1C0EEC6">
      <w:start w:val="1"/>
      <w:numFmt w:val="bullet"/>
      <w:lvlText w:val="•"/>
      <w:lvlJc w:val="left"/>
      <w:pPr>
        <w:ind w:left="720" w:hanging="360"/>
      </w:pPr>
    </w:lvl>
    <w:lvl w:ilvl="1" w:tplc="D3BA1C3A">
      <w:numFmt w:val="decimal"/>
      <w:lvlText w:val=""/>
      <w:lvlJc w:val="left"/>
    </w:lvl>
    <w:lvl w:ilvl="2" w:tplc="622A6340">
      <w:numFmt w:val="decimal"/>
      <w:lvlText w:val=""/>
      <w:lvlJc w:val="left"/>
    </w:lvl>
    <w:lvl w:ilvl="3" w:tplc="042E9408">
      <w:numFmt w:val="decimal"/>
      <w:lvlText w:val=""/>
      <w:lvlJc w:val="left"/>
    </w:lvl>
    <w:lvl w:ilvl="4" w:tplc="8C087F56">
      <w:numFmt w:val="decimal"/>
      <w:lvlText w:val=""/>
      <w:lvlJc w:val="left"/>
    </w:lvl>
    <w:lvl w:ilvl="5" w:tplc="87DEE63E">
      <w:numFmt w:val="decimal"/>
      <w:lvlText w:val=""/>
      <w:lvlJc w:val="left"/>
    </w:lvl>
    <w:lvl w:ilvl="6" w:tplc="5AFE1EDE">
      <w:numFmt w:val="decimal"/>
      <w:lvlText w:val=""/>
      <w:lvlJc w:val="left"/>
    </w:lvl>
    <w:lvl w:ilvl="7" w:tplc="92126794">
      <w:numFmt w:val="decimal"/>
      <w:lvlText w:val=""/>
      <w:lvlJc w:val="left"/>
    </w:lvl>
    <w:lvl w:ilvl="8" w:tplc="3A2E4010">
      <w:numFmt w:val="decimal"/>
      <w:lvlText w:val=""/>
      <w:lvlJc w:val="left"/>
    </w:lvl>
  </w:abstractNum>
  <w:abstractNum w:abstractNumId="13" w15:restartNumberingAfterBreak="0">
    <w:nsid w:val="39536618"/>
    <w:multiLevelType w:val="hybridMultilevel"/>
    <w:tmpl w:val="C2EED01A"/>
    <w:lvl w:ilvl="0" w:tplc="1478BAF8">
      <w:start w:val="1"/>
      <w:numFmt w:val="bullet"/>
      <w:lvlText w:val="•"/>
      <w:lvlJc w:val="left"/>
      <w:pPr>
        <w:ind w:left="720" w:hanging="360"/>
      </w:pPr>
    </w:lvl>
    <w:lvl w:ilvl="1" w:tplc="3084AC38">
      <w:numFmt w:val="decimal"/>
      <w:lvlText w:val=""/>
      <w:lvlJc w:val="left"/>
    </w:lvl>
    <w:lvl w:ilvl="2" w:tplc="8F400570">
      <w:numFmt w:val="decimal"/>
      <w:lvlText w:val=""/>
      <w:lvlJc w:val="left"/>
    </w:lvl>
    <w:lvl w:ilvl="3" w:tplc="EC064B70">
      <w:numFmt w:val="decimal"/>
      <w:lvlText w:val=""/>
      <w:lvlJc w:val="left"/>
    </w:lvl>
    <w:lvl w:ilvl="4" w:tplc="5C7ED792">
      <w:numFmt w:val="decimal"/>
      <w:lvlText w:val=""/>
      <w:lvlJc w:val="left"/>
    </w:lvl>
    <w:lvl w:ilvl="5" w:tplc="841A73C0">
      <w:numFmt w:val="decimal"/>
      <w:lvlText w:val=""/>
      <w:lvlJc w:val="left"/>
    </w:lvl>
    <w:lvl w:ilvl="6" w:tplc="1E4E0158">
      <w:numFmt w:val="decimal"/>
      <w:lvlText w:val=""/>
      <w:lvlJc w:val="left"/>
    </w:lvl>
    <w:lvl w:ilvl="7" w:tplc="D9D08FB8">
      <w:numFmt w:val="decimal"/>
      <w:lvlText w:val=""/>
      <w:lvlJc w:val="left"/>
    </w:lvl>
    <w:lvl w:ilvl="8" w:tplc="24705AAA">
      <w:numFmt w:val="decimal"/>
      <w:lvlText w:val=""/>
      <w:lvlJc w:val="left"/>
    </w:lvl>
  </w:abstractNum>
  <w:abstractNum w:abstractNumId="14" w15:restartNumberingAfterBreak="0">
    <w:nsid w:val="3AFB7662"/>
    <w:multiLevelType w:val="hybridMultilevel"/>
    <w:tmpl w:val="BBDEB7BC"/>
    <w:lvl w:ilvl="0" w:tplc="230E38DE">
      <w:start w:val="1"/>
      <w:numFmt w:val="bullet"/>
      <w:lvlText w:val="•"/>
      <w:lvlJc w:val="left"/>
      <w:pPr>
        <w:ind w:left="720" w:hanging="360"/>
      </w:pPr>
    </w:lvl>
    <w:lvl w:ilvl="1" w:tplc="02967E2A">
      <w:numFmt w:val="decimal"/>
      <w:lvlText w:val=""/>
      <w:lvlJc w:val="left"/>
    </w:lvl>
    <w:lvl w:ilvl="2" w:tplc="831064E4">
      <w:numFmt w:val="decimal"/>
      <w:lvlText w:val=""/>
      <w:lvlJc w:val="left"/>
    </w:lvl>
    <w:lvl w:ilvl="3" w:tplc="097C1B2C">
      <w:numFmt w:val="decimal"/>
      <w:lvlText w:val=""/>
      <w:lvlJc w:val="left"/>
    </w:lvl>
    <w:lvl w:ilvl="4" w:tplc="D04A4CBA">
      <w:numFmt w:val="decimal"/>
      <w:lvlText w:val=""/>
      <w:lvlJc w:val="left"/>
    </w:lvl>
    <w:lvl w:ilvl="5" w:tplc="D256B71C">
      <w:numFmt w:val="decimal"/>
      <w:lvlText w:val=""/>
      <w:lvlJc w:val="left"/>
    </w:lvl>
    <w:lvl w:ilvl="6" w:tplc="5D68C456">
      <w:numFmt w:val="decimal"/>
      <w:lvlText w:val=""/>
      <w:lvlJc w:val="left"/>
    </w:lvl>
    <w:lvl w:ilvl="7" w:tplc="9EB4CC1C">
      <w:numFmt w:val="decimal"/>
      <w:lvlText w:val=""/>
      <w:lvlJc w:val="left"/>
    </w:lvl>
    <w:lvl w:ilvl="8" w:tplc="00786C0E">
      <w:numFmt w:val="decimal"/>
      <w:lvlText w:val=""/>
      <w:lvlJc w:val="left"/>
    </w:lvl>
  </w:abstractNum>
  <w:abstractNum w:abstractNumId="15" w15:restartNumberingAfterBreak="0">
    <w:nsid w:val="3FE21363"/>
    <w:multiLevelType w:val="hybridMultilevel"/>
    <w:tmpl w:val="BCC09E60"/>
    <w:lvl w:ilvl="0" w:tplc="5E904BA8">
      <w:start w:val="1"/>
      <w:numFmt w:val="bullet"/>
      <w:lvlText w:val="•"/>
      <w:lvlJc w:val="left"/>
      <w:pPr>
        <w:ind w:left="720" w:hanging="360"/>
      </w:pPr>
    </w:lvl>
    <w:lvl w:ilvl="1" w:tplc="029C70DC">
      <w:numFmt w:val="decimal"/>
      <w:lvlText w:val=""/>
      <w:lvlJc w:val="left"/>
    </w:lvl>
    <w:lvl w:ilvl="2" w:tplc="0A20D072">
      <w:numFmt w:val="decimal"/>
      <w:lvlText w:val=""/>
      <w:lvlJc w:val="left"/>
    </w:lvl>
    <w:lvl w:ilvl="3" w:tplc="345CF802">
      <w:numFmt w:val="decimal"/>
      <w:lvlText w:val=""/>
      <w:lvlJc w:val="left"/>
    </w:lvl>
    <w:lvl w:ilvl="4" w:tplc="E82C7AD4">
      <w:numFmt w:val="decimal"/>
      <w:lvlText w:val=""/>
      <w:lvlJc w:val="left"/>
    </w:lvl>
    <w:lvl w:ilvl="5" w:tplc="7C903CEC">
      <w:numFmt w:val="decimal"/>
      <w:lvlText w:val=""/>
      <w:lvlJc w:val="left"/>
    </w:lvl>
    <w:lvl w:ilvl="6" w:tplc="79B6B40C">
      <w:numFmt w:val="decimal"/>
      <w:lvlText w:val=""/>
      <w:lvlJc w:val="left"/>
    </w:lvl>
    <w:lvl w:ilvl="7" w:tplc="CF047378">
      <w:numFmt w:val="decimal"/>
      <w:lvlText w:val=""/>
      <w:lvlJc w:val="left"/>
    </w:lvl>
    <w:lvl w:ilvl="8" w:tplc="24FEA1CC">
      <w:numFmt w:val="decimal"/>
      <w:lvlText w:val=""/>
      <w:lvlJc w:val="left"/>
    </w:lvl>
  </w:abstractNum>
  <w:abstractNum w:abstractNumId="16" w15:restartNumberingAfterBreak="0">
    <w:nsid w:val="4CCB4A99"/>
    <w:multiLevelType w:val="hybridMultilevel"/>
    <w:tmpl w:val="2CD09F08"/>
    <w:lvl w:ilvl="0" w:tplc="835E4C56">
      <w:start w:val="1"/>
      <w:numFmt w:val="bullet"/>
      <w:lvlText w:val="•"/>
      <w:lvlJc w:val="left"/>
      <w:pPr>
        <w:ind w:left="720" w:hanging="360"/>
      </w:pPr>
    </w:lvl>
    <w:lvl w:ilvl="1" w:tplc="D580311C">
      <w:numFmt w:val="decimal"/>
      <w:lvlText w:val=""/>
      <w:lvlJc w:val="left"/>
    </w:lvl>
    <w:lvl w:ilvl="2" w:tplc="81CE45EA">
      <w:numFmt w:val="decimal"/>
      <w:lvlText w:val=""/>
      <w:lvlJc w:val="left"/>
    </w:lvl>
    <w:lvl w:ilvl="3" w:tplc="87F2E026">
      <w:numFmt w:val="decimal"/>
      <w:lvlText w:val=""/>
      <w:lvlJc w:val="left"/>
    </w:lvl>
    <w:lvl w:ilvl="4" w:tplc="D17CFDC4">
      <w:numFmt w:val="decimal"/>
      <w:lvlText w:val=""/>
      <w:lvlJc w:val="left"/>
    </w:lvl>
    <w:lvl w:ilvl="5" w:tplc="F2DECFDE">
      <w:numFmt w:val="decimal"/>
      <w:lvlText w:val=""/>
      <w:lvlJc w:val="left"/>
    </w:lvl>
    <w:lvl w:ilvl="6" w:tplc="3250AA96">
      <w:numFmt w:val="decimal"/>
      <w:lvlText w:val=""/>
      <w:lvlJc w:val="left"/>
    </w:lvl>
    <w:lvl w:ilvl="7" w:tplc="CD5025A4">
      <w:numFmt w:val="decimal"/>
      <w:lvlText w:val=""/>
      <w:lvlJc w:val="left"/>
    </w:lvl>
    <w:lvl w:ilvl="8" w:tplc="5742F5CE">
      <w:numFmt w:val="decimal"/>
      <w:lvlText w:val=""/>
      <w:lvlJc w:val="left"/>
    </w:lvl>
  </w:abstractNum>
  <w:abstractNum w:abstractNumId="17" w15:restartNumberingAfterBreak="0">
    <w:nsid w:val="4E8177F8"/>
    <w:multiLevelType w:val="hybridMultilevel"/>
    <w:tmpl w:val="796E0F4C"/>
    <w:lvl w:ilvl="0" w:tplc="31EA3E06">
      <w:start w:val="1"/>
      <w:numFmt w:val="bullet"/>
      <w:lvlText w:val="•"/>
      <w:lvlJc w:val="left"/>
      <w:pPr>
        <w:ind w:left="720" w:hanging="360"/>
      </w:pPr>
    </w:lvl>
    <w:lvl w:ilvl="1" w:tplc="F710C946">
      <w:numFmt w:val="decimal"/>
      <w:lvlText w:val=""/>
      <w:lvlJc w:val="left"/>
    </w:lvl>
    <w:lvl w:ilvl="2" w:tplc="FEA6C90E">
      <w:numFmt w:val="decimal"/>
      <w:lvlText w:val=""/>
      <w:lvlJc w:val="left"/>
    </w:lvl>
    <w:lvl w:ilvl="3" w:tplc="BC92D42A">
      <w:numFmt w:val="decimal"/>
      <w:lvlText w:val=""/>
      <w:lvlJc w:val="left"/>
    </w:lvl>
    <w:lvl w:ilvl="4" w:tplc="FC06FC36">
      <w:numFmt w:val="decimal"/>
      <w:lvlText w:val=""/>
      <w:lvlJc w:val="left"/>
    </w:lvl>
    <w:lvl w:ilvl="5" w:tplc="664024E8">
      <w:numFmt w:val="decimal"/>
      <w:lvlText w:val=""/>
      <w:lvlJc w:val="left"/>
    </w:lvl>
    <w:lvl w:ilvl="6" w:tplc="48485390">
      <w:numFmt w:val="decimal"/>
      <w:lvlText w:val=""/>
      <w:lvlJc w:val="left"/>
    </w:lvl>
    <w:lvl w:ilvl="7" w:tplc="110C790A">
      <w:numFmt w:val="decimal"/>
      <w:lvlText w:val=""/>
      <w:lvlJc w:val="left"/>
    </w:lvl>
    <w:lvl w:ilvl="8" w:tplc="0CBE56A0">
      <w:numFmt w:val="decimal"/>
      <w:lvlText w:val=""/>
      <w:lvlJc w:val="left"/>
    </w:lvl>
  </w:abstractNum>
  <w:abstractNum w:abstractNumId="18" w15:restartNumberingAfterBreak="0">
    <w:nsid w:val="562507A5"/>
    <w:multiLevelType w:val="hybridMultilevel"/>
    <w:tmpl w:val="FD3EB690"/>
    <w:lvl w:ilvl="0" w:tplc="336C3EB8">
      <w:start w:val="1"/>
      <w:numFmt w:val="bullet"/>
      <w:lvlText w:val="•"/>
      <w:lvlJc w:val="left"/>
      <w:pPr>
        <w:ind w:left="720" w:hanging="360"/>
      </w:pPr>
    </w:lvl>
    <w:lvl w:ilvl="1" w:tplc="86D624A2">
      <w:numFmt w:val="decimal"/>
      <w:lvlText w:val=""/>
      <w:lvlJc w:val="left"/>
    </w:lvl>
    <w:lvl w:ilvl="2" w:tplc="CD8AA16E">
      <w:numFmt w:val="decimal"/>
      <w:lvlText w:val=""/>
      <w:lvlJc w:val="left"/>
    </w:lvl>
    <w:lvl w:ilvl="3" w:tplc="67742A12">
      <w:numFmt w:val="decimal"/>
      <w:lvlText w:val=""/>
      <w:lvlJc w:val="left"/>
    </w:lvl>
    <w:lvl w:ilvl="4" w:tplc="77C074B8">
      <w:numFmt w:val="decimal"/>
      <w:lvlText w:val=""/>
      <w:lvlJc w:val="left"/>
    </w:lvl>
    <w:lvl w:ilvl="5" w:tplc="31C837C8">
      <w:numFmt w:val="decimal"/>
      <w:lvlText w:val=""/>
      <w:lvlJc w:val="left"/>
    </w:lvl>
    <w:lvl w:ilvl="6" w:tplc="517C6034">
      <w:numFmt w:val="decimal"/>
      <w:lvlText w:val=""/>
      <w:lvlJc w:val="left"/>
    </w:lvl>
    <w:lvl w:ilvl="7" w:tplc="1C7E6808">
      <w:numFmt w:val="decimal"/>
      <w:lvlText w:val=""/>
      <w:lvlJc w:val="left"/>
    </w:lvl>
    <w:lvl w:ilvl="8" w:tplc="86DC2116">
      <w:numFmt w:val="decimal"/>
      <w:lvlText w:val=""/>
      <w:lvlJc w:val="left"/>
    </w:lvl>
  </w:abstractNum>
  <w:abstractNum w:abstractNumId="19" w15:restartNumberingAfterBreak="0">
    <w:nsid w:val="677668B7"/>
    <w:multiLevelType w:val="hybridMultilevel"/>
    <w:tmpl w:val="059EFFE6"/>
    <w:lvl w:ilvl="0" w:tplc="B28E70EE">
      <w:start w:val="1"/>
      <w:numFmt w:val="bullet"/>
      <w:lvlText w:val="●"/>
      <w:lvlJc w:val="left"/>
      <w:pPr>
        <w:ind w:left="720" w:hanging="360"/>
      </w:pPr>
    </w:lvl>
    <w:lvl w:ilvl="1" w:tplc="D25CB6F6">
      <w:start w:val="1"/>
      <w:numFmt w:val="bullet"/>
      <w:lvlText w:val="○"/>
      <w:lvlJc w:val="left"/>
      <w:pPr>
        <w:ind w:left="1440" w:hanging="360"/>
      </w:pPr>
    </w:lvl>
    <w:lvl w:ilvl="2" w:tplc="79D8AF56">
      <w:start w:val="1"/>
      <w:numFmt w:val="bullet"/>
      <w:lvlText w:val="■"/>
      <w:lvlJc w:val="left"/>
      <w:pPr>
        <w:ind w:left="2160" w:hanging="360"/>
      </w:pPr>
    </w:lvl>
    <w:lvl w:ilvl="3" w:tplc="FA6808EE">
      <w:start w:val="1"/>
      <w:numFmt w:val="bullet"/>
      <w:lvlText w:val="●"/>
      <w:lvlJc w:val="left"/>
      <w:pPr>
        <w:ind w:left="2880" w:hanging="360"/>
      </w:pPr>
    </w:lvl>
    <w:lvl w:ilvl="4" w:tplc="FD124BEE">
      <w:start w:val="1"/>
      <w:numFmt w:val="bullet"/>
      <w:lvlText w:val="○"/>
      <w:lvlJc w:val="left"/>
      <w:pPr>
        <w:ind w:left="3600" w:hanging="360"/>
      </w:pPr>
    </w:lvl>
    <w:lvl w:ilvl="5" w:tplc="550E925C">
      <w:start w:val="1"/>
      <w:numFmt w:val="bullet"/>
      <w:lvlText w:val="■"/>
      <w:lvlJc w:val="left"/>
      <w:pPr>
        <w:ind w:left="4320" w:hanging="360"/>
      </w:pPr>
    </w:lvl>
    <w:lvl w:ilvl="6" w:tplc="7DB4D356">
      <w:start w:val="1"/>
      <w:numFmt w:val="bullet"/>
      <w:lvlText w:val="●"/>
      <w:lvlJc w:val="left"/>
      <w:pPr>
        <w:ind w:left="5040" w:hanging="360"/>
      </w:pPr>
    </w:lvl>
    <w:lvl w:ilvl="7" w:tplc="47921B9C">
      <w:start w:val="1"/>
      <w:numFmt w:val="bullet"/>
      <w:lvlText w:val="●"/>
      <w:lvlJc w:val="left"/>
      <w:pPr>
        <w:ind w:left="5760" w:hanging="360"/>
      </w:pPr>
    </w:lvl>
    <w:lvl w:ilvl="8" w:tplc="9146C726">
      <w:start w:val="1"/>
      <w:numFmt w:val="bullet"/>
      <w:lvlText w:val="●"/>
      <w:lvlJc w:val="left"/>
      <w:pPr>
        <w:ind w:left="6480" w:hanging="360"/>
      </w:pPr>
    </w:lvl>
  </w:abstractNum>
  <w:abstractNum w:abstractNumId="20" w15:restartNumberingAfterBreak="0">
    <w:nsid w:val="72DC452B"/>
    <w:multiLevelType w:val="hybridMultilevel"/>
    <w:tmpl w:val="97E23702"/>
    <w:lvl w:ilvl="0" w:tplc="9760B098">
      <w:start w:val="1"/>
      <w:numFmt w:val="decimal"/>
      <w:lvlText w:val="%1."/>
      <w:lvlJc w:val="left"/>
      <w:pPr>
        <w:ind w:left="720" w:hanging="360"/>
      </w:pPr>
    </w:lvl>
    <w:lvl w:ilvl="1" w:tplc="2670EFB6">
      <w:numFmt w:val="decimal"/>
      <w:lvlText w:val=""/>
      <w:lvlJc w:val="left"/>
    </w:lvl>
    <w:lvl w:ilvl="2" w:tplc="B4E65E7A">
      <w:numFmt w:val="decimal"/>
      <w:lvlText w:val=""/>
      <w:lvlJc w:val="left"/>
    </w:lvl>
    <w:lvl w:ilvl="3" w:tplc="F56CDF72">
      <w:numFmt w:val="decimal"/>
      <w:lvlText w:val=""/>
      <w:lvlJc w:val="left"/>
    </w:lvl>
    <w:lvl w:ilvl="4" w:tplc="93187E02">
      <w:numFmt w:val="decimal"/>
      <w:lvlText w:val=""/>
      <w:lvlJc w:val="left"/>
    </w:lvl>
    <w:lvl w:ilvl="5" w:tplc="91E20FA8">
      <w:numFmt w:val="decimal"/>
      <w:lvlText w:val=""/>
      <w:lvlJc w:val="left"/>
    </w:lvl>
    <w:lvl w:ilvl="6" w:tplc="1E4EF630">
      <w:numFmt w:val="decimal"/>
      <w:lvlText w:val=""/>
      <w:lvlJc w:val="left"/>
    </w:lvl>
    <w:lvl w:ilvl="7" w:tplc="3CBEC4F2">
      <w:numFmt w:val="decimal"/>
      <w:lvlText w:val=""/>
      <w:lvlJc w:val="left"/>
    </w:lvl>
    <w:lvl w:ilvl="8" w:tplc="01B00A1E">
      <w:numFmt w:val="decimal"/>
      <w:lvlText w:val=""/>
      <w:lvlJc w:val="left"/>
    </w:lvl>
  </w:abstractNum>
  <w:abstractNum w:abstractNumId="21" w15:restartNumberingAfterBreak="0">
    <w:nsid w:val="73F545FD"/>
    <w:multiLevelType w:val="hybridMultilevel"/>
    <w:tmpl w:val="5C7C8F1A"/>
    <w:lvl w:ilvl="0" w:tplc="62BA1662">
      <w:start w:val="1"/>
      <w:numFmt w:val="bullet"/>
      <w:lvlText w:val="•"/>
      <w:lvlJc w:val="left"/>
      <w:pPr>
        <w:ind w:left="720" w:hanging="360"/>
      </w:pPr>
    </w:lvl>
    <w:lvl w:ilvl="1" w:tplc="199E1478">
      <w:numFmt w:val="decimal"/>
      <w:lvlText w:val=""/>
      <w:lvlJc w:val="left"/>
    </w:lvl>
    <w:lvl w:ilvl="2" w:tplc="A6CA0868">
      <w:numFmt w:val="decimal"/>
      <w:lvlText w:val=""/>
      <w:lvlJc w:val="left"/>
    </w:lvl>
    <w:lvl w:ilvl="3" w:tplc="DD84C47A">
      <w:numFmt w:val="decimal"/>
      <w:lvlText w:val=""/>
      <w:lvlJc w:val="left"/>
    </w:lvl>
    <w:lvl w:ilvl="4" w:tplc="0F6E3986">
      <w:numFmt w:val="decimal"/>
      <w:lvlText w:val=""/>
      <w:lvlJc w:val="left"/>
    </w:lvl>
    <w:lvl w:ilvl="5" w:tplc="5A2CBF32">
      <w:numFmt w:val="decimal"/>
      <w:lvlText w:val=""/>
      <w:lvlJc w:val="left"/>
    </w:lvl>
    <w:lvl w:ilvl="6" w:tplc="7194D9A8">
      <w:numFmt w:val="decimal"/>
      <w:lvlText w:val=""/>
      <w:lvlJc w:val="left"/>
    </w:lvl>
    <w:lvl w:ilvl="7" w:tplc="9800ABF0">
      <w:numFmt w:val="decimal"/>
      <w:lvlText w:val=""/>
      <w:lvlJc w:val="left"/>
    </w:lvl>
    <w:lvl w:ilvl="8" w:tplc="88662148">
      <w:numFmt w:val="decimal"/>
      <w:lvlText w:val=""/>
      <w:lvlJc w:val="left"/>
    </w:lvl>
  </w:abstractNum>
  <w:num w:numId="1" w16cid:durableId="1048798662">
    <w:abstractNumId w:val="19"/>
    <w:lvlOverride w:ilvl="0">
      <w:startOverride w:val="1"/>
    </w:lvlOverride>
  </w:num>
  <w:num w:numId="2" w16cid:durableId="682628438">
    <w:abstractNumId w:val="12"/>
    <w:lvlOverride w:ilvl="0">
      <w:startOverride w:val="1"/>
    </w:lvlOverride>
  </w:num>
  <w:num w:numId="3" w16cid:durableId="293876472">
    <w:abstractNumId w:val="17"/>
    <w:lvlOverride w:ilvl="0">
      <w:startOverride w:val="1"/>
    </w:lvlOverride>
  </w:num>
  <w:num w:numId="4" w16cid:durableId="89085085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E48"/>
    <w:rsid w:val="001B03D1"/>
    <w:rsid w:val="00A25D42"/>
    <w:rsid w:val="00A8797B"/>
    <w:rsid w:val="00B54FAD"/>
    <w:rsid w:val="00C03E48"/>
    <w:rsid w:val="00F51B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996F"/>
  <w15:docId w15:val="{EBCE4CA3-261B-4D70-8177-9E2E44291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797"/>
      <w:sz w:val="36"/>
      <w:szCs w:val="36"/>
    </w:rPr>
  </w:style>
  <w:style w:type="paragraph" w:styleId="Heading2">
    <w:name w:val="heading 2"/>
    <w:uiPriority w:val="9"/>
    <w:unhideWhenUsed/>
    <w:qFormat/>
    <w:pPr>
      <w:spacing w:before="240" w:after="160"/>
      <w:outlineLvl w:val="1"/>
    </w:pPr>
    <w:rPr>
      <w:b/>
      <w:bCs/>
      <w:color w:val="2B579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3592</Words>
  <Characters>20478</Characters>
  <Application>Microsoft Office Word</Application>
  <DocSecurity>0</DocSecurity>
  <Lines>170</Lines>
  <Paragraphs>48</Paragraphs>
  <ScaleCrop>false</ScaleCrop>
  <Company/>
  <LinksUpToDate>false</LinksUpToDate>
  <CharactersWithSpaces>24022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Elkhatib</cp:lastModifiedBy>
  <cp:revision>2</cp:revision>
  <dcterms:created xsi:type="dcterms:W3CDTF">2026-05-07T10:57:00Z</dcterms:created>
  <dcterms:modified xsi:type="dcterms:W3CDTF">2026-05-07T10:57:00Z</dcterms:modified>
</cp:coreProperties>
</file>