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E8C" w:val="clear"/>
            <w:tcMar>
              <w:top w:type="dxa" w:w="500"/>
              <w:left w:type="dxa" w:w="400"/>
              <w:bottom w:type="dxa" w:w="500"/>
              <w:right w:type="dxa" w:w="400"/>
            </w:tcMar>
          </w:tcPr>
          <w:p>
            <w:pPr>
              <w:spacing w:after="100" w:before="0"/>
              <w:jc w:val="left"/>
            </w:pPr>
            <w:r>
              <w:rPr>
                <w:rFonts w:ascii="Arial" w:cs="Arial" w:eastAsia="Arial" w:hAnsi="Arial"/>
                <w:b/>
                <w:bCs/>
                <w:color w:val="B0C4DE"/>
                <w:sz w:val="14"/>
                <w:szCs w:val="14"/>
              </w:rPr>
              <w:t xml:space="preserve">BUSINESS INSIGHTS REPORT</w:t>
            </w:r>
          </w:p>
          <w:p>
            <w:pPr>
              <w:spacing w:after="160" w:before="0"/>
              <w:jc w:val="left"/>
            </w:pPr>
            <w:r>
              <w:rPr>
                <w:rFonts w:ascii="Arial" w:cs="Arial" w:eastAsia="Arial" w:hAnsi="Arial"/>
                <w:b/>
                <w:bCs/>
                <w:color w:val="FFFFFF"/>
                <w:sz w:val="48"/>
                <w:szCs w:val="48"/>
              </w:rPr>
              <w:t xml:space="preserve">Key Performance Analysis</w:t>
            </w:r>
          </w:p>
          <w:p>
            <w:pPr>
              <w:jc w:val="left"/>
            </w:pPr>
            <w:r>
              <w:rPr>
                <w:rFonts w:ascii="Arial" w:cs="Arial" w:eastAsia="Arial" w:hAnsi="Arial"/>
                <w:color w:val="B0C4DE"/>
                <w:sz w:val="20"/>
                <w:szCs w:val="20"/>
              </w:rPr>
              <w:t xml:space="preserve">Revenue  •  Customers  •  Geography  •  Products  •  Delivery</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E8C" w:val="clear"/>
            <w:tcMar>
              <w:top w:type="dxa" w:w="140"/>
              <w:left w:type="dxa" w:w="200"/>
              <w:bottom w:type="dxa" w:w="140"/>
              <w:right w:type="dxa" w:w="200"/>
            </w:tcMar>
          </w:tcPr>
          <w:p>
            <w:pPr>
              <w:jc w:val="left"/>
            </w:pPr>
            <w:r>
              <w:rPr>
                <w:rFonts w:ascii="Arial" w:cs="Arial" w:eastAsia="Arial" w:hAnsi="Arial"/>
                <w:b/>
                <w:bCs/>
                <w:color w:val="FFFFFF"/>
                <w:sz w:val="24"/>
                <w:szCs w:val="24"/>
              </w:rPr>
              <w:t xml:space="preserve">EXECUTIVE SUMMARY</w:t>
            </w:r>
          </w:p>
        </w:tc>
      </w:tr>
    </w:tbl>
    <w:p>
      <w:pPr>
        <w:spacing w:after="80" w:before="80"/>
      </w:pPr>
      <w:r>
        <w:t xml:space="preserve"/>
      </w:r>
    </w:p>
    <w:p>
      <w:pPr>
        <w:spacing w:after="80" w:before="80"/>
      </w:pPr>
      <w:r>
        <w:rPr>
          <w:rFonts w:ascii="Arial" w:cs="Arial" w:eastAsia="Arial" w:hAnsi="Arial"/>
          <w:color w:val="2C2C2C"/>
          <w:sz w:val="22"/>
          <w:szCs w:val="22"/>
        </w:rPr>
        <w:t xml:space="preserve">This report presents five key business insights derived from operational data, covering revenue dynamics, customer behavior, geographic reach, product performance, and delivery efficiency. The analysis reveals significant opportunities for growth alongside critical operational challenges requiring immediate attention.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86C1" w:sz="4"/>
              <w:left w:val="single" w:color="CCCCCC" w:sz="1"/>
              <w:bottom w:val="single" w:color="CCCCCC" w:sz="1"/>
              <w:right w:val="single" w:color="CCCCCC" w:sz="1"/>
            </w:tcBorders>
            <w:shd w:fill="F5F5F5" w:val="clear"/>
            <w:tcMar>
              <w:top w:type="dxa" w:w="120"/>
              <w:left w:type="dxa" w:w="160"/>
              <w:bottom w:type="dxa" w:w="120"/>
              <w:right w:type="dxa" w:w="160"/>
            </w:tcMar>
          </w:tcPr>
          <w:p>
            <w:pPr>
              <w:spacing w:after="60" w:before="0"/>
              <w:jc w:val="center"/>
            </w:pPr>
            <w:r>
              <w:rPr>
                <w:rFonts w:ascii="Arial" w:cs="Arial" w:eastAsia="Arial" w:hAnsi="Arial"/>
                <w:b/>
                <w:bCs/>
                <w:color w:val="1E4E8C"/>
                <w:sz w:val="32"/>
                <w:szCs w:val="32"/>
              </w:rPr>
              <w:t xml:space="preserve">80/20</w:t>
            </w:r>
          </w:p>
          <w:p>
            <w:pPr>
              <w:jc w:val="center"/>
            </w:pPr>
            <w:r>
              <w:rPr>
                <w:rFonts w:ascii="Arial" w:cs="Arial" w:eastAsia="Arial" w:hAnsi="Arial"/>
                <w:color w:val="666666"/>
                <w:sz w:val="18"/>
                <w:szCs w:val="18"/>
              </w:rPr>
              <w:t xml:space="preserve">Revenue Pareto</w:t>
            </w:r>
          </w:p>
        </w:tc>
        <w:tc>
          <w:tcPr>
            <w:tcW w:type="dxa" w:w="2340"/>
            <w:tcBorders>
              <w:top w:val="single" w:color="2E86C1" w:sz="4"/>
              <w:left w:val="single" w:color="CCCCCC" w:sz="1"/>
              <w:bottom w:val="single" w:color="CCCCCC" w:sz="1"/>
              <w:right w:val="single" w:color="CCCCCC" w:sz="1"/>
            </w:tcBorders>
            <w:shd w:fill="F5F5F5" w:val="clear"/>
            <w:tcMar>
              <w:top w:type="dxa" w:w="120"/>
              <w:left w:type="dxa" w:w="160"/>
              <w:bottom w:type="dxa" w:w="120"/>
              <w:right w:type="dxa" w:w="160"/>
            </w:tcMar>
          </w:tcPr>
          <w:p>
            <w:pPr>
              <w:spacing w:after="60" w:before="0"/>
              <w:jc w:val="center"/>
            </w:pPr>
            <w:r>
              <w:rPr>
                <w:rFonts w:ascii="Arial" w:cs="Arial" w:eastAsia="Arial" w:hAnsi="Arial"/>
                <w:b/>
                <w:bCs/>
                <w:color w:val="1E4E8C"/>
                <w:sz w:val="32"/>
                <w:szCs w:val="32"/>
              </w:rPr>
              <w:t xml:space="preserve">High</w:t>
            </w:r>
          </w:p>
          <w:p>
            <w:pPr>
              <w:jc w:val="center"/>
            </w:pPr>
            <w:r>
              <w:rPr>
                <w:rFonts w:ascii="Arial" w:cs="Arial" w:eastAsia="Arial" w:hAnsi="Arial"/>
                <w:color w:val="666666"/>
                <w:sz w:val="18"/>
                <w:szCs w:val="18"/>
              </w:rPr>
              <w:t xml:space="preserve">Customer Loyalty</w:t>
            </w:r>
          </w:p>
        </w:tc>
        <w:tc>
          <w:tcPr>
            <w:tcW w:type="dxa" w:w="2340"/>
            <w:tcBorders>
              <w:top w:val="single" w:color="2E86C1" w:sz="4"/>
              <w:left w:val="single" w:color="CCCCCC" w:sz="1"/>
              <w:bottom w:val="single" w:color="CCCCCC" w:sz="1"/>
              <w:right w:val="single" w:color="CCCCCC" w:sz="1"/>
            </w:tcBorders>
            <w:shd w:fill="F5F5F5" w:val="clear"/>
            <w:tcMar>
              <w:top w:type="dxa" w:w="120"/>
              <w:left w:type="dxa" w:w="160"/>
              <w:bottom w:type="dxa" w:w="120"/>
              <w:right w:type="dxa" w:w="160"/>
            </w:tcMar>
          </w:tcPr>
          <w:p>
            <w:pPr>
              <w:spacing w:after="60" w:before="0"/>
              <w:jc w:val="center"/>
            </w:pPr>
            <w:r>
              <w:rPr>
                <w:rFonts w:ascii="Arial" w:cs="Arial" w:eastAsia="Arial" w:hAnsi="Arial"/>
                <w:b/>
                <w:bCs/>
                <w:color w:val="1E4E8C"/>
                <w:sz w:val="32"/>
                <w:szCs w:val="32"/>
              </w:rPr>
              <w:t xml:space="preserve">SP</w:t>
            </w:r>
          </w:p>
          <w:p>
            <w:pPr>
              <w:jc w:val="center"/>
            </w:pPr>
            <w:r>
              <w:rPr>
                <w:rFonts w:ascii="Arial" w:cs="Arial" w:eastAsia="Arial" w:hAnsi="Arial"/>
                <w:color w:val="666666"/>
                <w:sz w:val="18"/>
                <w:szCs w:val="18"/>
              </w:rPr>
              <w:t xml:space="preserve">Top Market</w:t>
            </w:r>
          </w:p>
        </w:tc>
        <w:tc>
          <w:tcPr>
            <w:tcW w:type="dxa" w:w="2340"/>
            <w:tcBorders>
              <w:top w:val="single" w:color="2E86C1" w:sz="4"/>
              <w:left w:val="single" w:color="CCCCCC" w:sz="1"/>
              <w:bottom w:val="single" w:color="CCCCCC" w:sz="1"/>
              <w:right w:val="single" w:color="CCCCCC" w:sz="1"/>
            </w:tcBorders>
            <w:shd w:fill="F5F5F5" w:val="clear"/>
            <w:tcMar>
              <w:top w:type="dxa" w:w="120"/>
              <w:left w:type="dxa" w:w="160"/>
              <w:bottom w:type="dxa" w:w="120"/>
              <w:right w:type="dxa" w:w="160"/>
            </w:tcMar>
          </w:tcPr>
          <w:p>
            <w:pPr>
              <w:spacing w:after="60" w:before="0"/>
              <w:jc w:val="center"/>
            </w:pPr>
            <w:r>
              <w:rPr>
                <w:rFonts w:ascii="Arial" w:cs="Arial" w:eastAsia="Arial" w:hAnsi="Arial"/>
                <w:b/>
                <w:bCs/>
                <w:color w:val="1E4E8C"/>
                <w:sz w:val="32"/>
                <w:szCs w:val="32"/>
              </w:rPr>
              <w:t xml:space="preserve">⚠ Gap</w:t>
            </w:r>
          </w:p>
          <w:p>
            <w:pPr>
              <w:jc w:val="center"/>
            </w:pPr>
            <w:r>
              <w:rPr>
                <w:rFonts w:ascii="Arial" w:cs="Arial" w:eastAsia="Arial" w:hAnsi="Arial"/>
                <w:color w:val="666666"/>
                <w:sz w:val="18"/>
                <w:szCs w:val="18"/>
              </w:rPr>
              <w:t xml:space="preserve">Delivery Risk</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E8C" w:val="clear"/>
            <w:tcMar>
              <w:top w:type="dxa" w:w="140"/>
              <w:left w:type="dxa" w:w="200"/>
              <w:bottom w:type="dxa" w:w="140"/>
              <w:right w:type="dxa" w:w="200"/>
            </w:tcMar>
          </w:tcPr>
          <w:p>
            <w:pPr>
              <w:jc w:val="left"/>
            </w:pPr>
            <w:r>
              <w:rPr>
                <w:rFonts w:ascii="Arial" w:cs="Arial" w:eastAsia="Arial" w:hAnsi="Arial"/>
                <w:b/>
                <w:bCs/>
                <w:color w:val="FFFFFF"/>
                <w:sz w:val="24"/>
                <w:szCs w:val="24"/>
              </w:rPr>
              <w:t xml:space="preserve">1. REVENUE CONCENTRATION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86C1"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#1</w:t>
            </w:r>
          </w:p>
        </w:tc>
        <w:tc>
          <w:tcPr>
            <w:tcW w:type="dxa" w:w="89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A1A2E"/>
                <w:sz w:val="22"/>
                <w:szCs w:val="22"/>
              </w:rPr>
              <w:t xml:space="preserve">Strong Pareto Effect Detected</w:t>
            </w:r>
          </w:p>
          <w:p>
            <w:r>
              <w:rPr>
                <w:rFonts w:ascii="Arial" w:cs="Arial" w:eastAsia="Arial" w:hAnsi="Arial"/>
                <w:color w:val="444444"/>
                <w:sz w:val="20"/>
                <w:szCs w:val="20"/>
              </w:rPr>
              <w:t xml:space="preserve">The majority of total revenue is generated by a small number of product categories, following the classic 80/20 distribution pattern.</w:t>
            </w:r>
          </w:p>
        </w:tc>
      </w:tr>
    </w:tbl>
    <w:p>
      <w:pPr>
        <w:spacing w:after="80" w:before="80"/>
      </w:pPr>
      <w:r>
        <w:t xml:space="preserve"/>
      </w:r>
    </w:p>
    <w:p>
      <w:pPr>
        <w:pStyle w:val="Heading2"/>
        <w:spacing w:after="80" w:before="240"/>
      </w:pPr>
      <w:r>
        <w:rPr>
          <w:rFonts w:ascii="Arial" w:cs="Arial" w:eastAsia="Arial" w:hAnsi="Arial"/>
          <w:b/>
          <w:bCs/>
          <w:color w:val="2E86C1"/>
          <w:sz w:val="26"/>
          <w:szCs w:val="26"/>
        </w:rPr>
        <w:t xml:space="preserve">Key Findings</w:t>
      </w:r>
    </w:p>
    <w:p>
      <w:pPr>
        <w:pStyle w:val="ListParagraph"/>
        <w:numPr>
          <w:ilvl w:val="0"/>
          <w:numId w:val="2"/>
        </w:numPr>
        <w:spacing w:after="60" w:before="60"/>
      </w:pPr>
      <w:r>
        <w:rPr>
          <w:rFonts w:ascii="Arial" w:cs="Arial" w:eastAsia="Arial" w:hAnsi="Arial"/>
          <w:color w:val="2C2C2C"/>
          <w:sz w:val="22"/>
          <w:szCs w:val="22"/>
        </w:rPr>
        <w:t xml:space="preserve">A small subset of categories drives the bulk of business revenue</w:t>
      </w:r>
    </w:p>
    <w:p>
      <w:pPr>
        <w:pStyle w:val="ListParagraph"/>
        <w:numPr>
          <w:ilvl w:val="0"/>
          <w:numId w:val="2"/>
        </w:numPr>
        <w:spacing w:after="60" w:before="60"/>
      </w:pPr>
      <w:r>
        <w:rPr>
          <w:rFonts w:ascii="Arial" w:cs="Arial" w:eastAsia="Arial" w:hAnsi="Arial"/>
          <w:color w:val="2C2C2C"/>
          <w:sz w:val="22"/>
          <w:szCs w:val="22"/>
        </w:rPr>
        <w:t xml:space="preserve">Long-tail categories contribute minimally despite volume</w:t>
      </w:r>
    </w:p>
    <w:p>
      <w:pPr>
        <w:pStyle w:val="ListParagraph"/>
        <w:numPr>
          <w:ilvl w:val="0"/>
          <w:numId w:val="2"/>
        </w:numPr>
        <w:spacing w:after="60" w:before="60"/>
      </w:pPr>
      <w:r>
        <w:rPr>
          <w:rFonts w:ascii="Arial" w:cs="Arial" w:eastAsia="Arial" w:hAnsi="Arial"/>
          <w:color w:val="2C2C2C"/>
          <w:sz w:val="22"/>
          <w:szCs w:val="22"/>
        </w:rPr>
        <w:t xml:space="preserve">High dependency on top-performing segments increases risk exposure</w:t>
      </w:r>
    </w:p>
    <w:p>
      <w:pPr>
        <w:spacing w:after="80" w:before="80"/>
      </w:pPr>
      <w:r>
        <w:t xml:space="preserve"/>
      </w:r>
    </w:p>
    <w:p>
      <w:pPr>
        <w:pStyle w:val="Heading2"/>
        <w:spacing w:after="80" w:before="240"/>
      </w:pPr>
      <w:r>
        <w:rPr>
          <w:rFonts w:ascii="Arial" w:cs="Arial" w:eastAsia="Arial" w:hAnsi="Arial"/>
          <w:b/>
          <w:bCs/>
          <w:color w:val="2E86C1"/>
          <w:sz w:val="26"/>
          <w:szCs w:val="26"/>
        </w:rPr>
        <w:t xml:space="preserve">Implication</w:t>
      </w:r>
    </w:p>
    <w:p>
      <w:pPr>
        <w:spacing w:after="80" w:before="80"/>
      </w:pPr>
      <w:r>
        <w:rPr>
          <w:rFonts w:ascii="Arial" w:cs="Arial" w:eastAsia="Arial" w:hAnsi="Arial"/>
          <w:color w:val="2C2C2C"/>
          <w:sz w:val="22"/>
          <w:szCs w:val="22"/>
        </w:rPr>
        <w:t xml:space="preserve">The concentration of revenue in a few categories creates both opportunity and vulnerability. While these categories represent core strengths, over-reliance on them poses a strategic risk if market conditions shift.</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E8C" w:val="clear"/>
            <w:tcMar>
              <w:top w:type="dxa" w:w="140"/>
              <w:left w:type="dxa" w:w="200"/>
              <w:bottom w:type="dxa" w:w="140"/>
              <w:right w:type="dxa" w:w="200"/>
            </w:tcMar>
          </w:tcPr>
          <w:p>
            <w:pPr>
              <w:jc w:val="left"/>
            </w:pPr>
            <w:r>
              <w:rPr>
                <w:rFonts w:ascii="Arial" w:cs="Arial" w:eastAsia="Arial" w:hAnsi="Arial"/>
                <w:b/>
                <w:bCs/>
                <w:color w:val="FFFFFF"/>
                <w:sz w:val="24"/>
                <w:szCs w:val="24"/>
              </w:rPr>
              <w:t xml:space="preserve">2. CUSTOMER BEHAVIOR</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86C1"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#2</w:t>
            </w:r>
          </w:p>
        </w:tc>
        <w:tc>
          <w:tcPr>
            <w:tcW w:type="dxa" w:w="8960"/>
            <w:tcBorders>
              <w:top w:val="single" w:color="CCCCCC" w:sz="1"/>
              <w:left w:val="none" w:color="FFFFFF" w:sz="0"/>
              <w:bottom w:val="single" w:color="CCCCCC" w:sz="1"/>
              <w:right w:val="single" w:color="CCCCCC" w:sz="1"/>
            </w:tcBorders>
            <w:shd w:fill="EAFAF1" w:val="clear"/>
            <w:tcMar>
              <w:top w:type="dxa" w:w="120"/>
              <w:left w:type="dxa" w:w="200"/>
              <w:bottom w:type="dxa" w:w="120"/>
              <w:right w:type="dxa" w:w="200"/>
            </w:tcMar>
          </w:tcPr>
          <w:p>
            <w:pPr>
              <w:spacing w:after="60" w:before="0"/>
            </w:pPr>
            <w:r>
              <w:rPr>
                <w:rFonts w:ascii="Arial" w:cs="Arial" w:eastAsia="Arial" w:hAnsi="Arial"/>
                <w:b/>
                <w:bCs/>
                <w:color w:val="1A1A2E"/>
                <w:sz w:val="22"/>
                <w:szCs w:val="22"/>
              </w:rPr>
              <w:t xml:space="preserve">Repeat Customers Drive Outsized Value</w:t>
            </w:r>
          </w:p>
          <w:p>
            <w:r>
              <w:rPr>
                <w:rFonts w:ascii="Arial" w:cs="Arial" w:eastAsia="Arial" w:hAnsi="Arial"/>
                <w:color w:val="444444"/>
                <w:sz w:val="20"/>
                <w:szCs w:val="20"/>
              </w:rPr>
              <w:t xml:space="preserve">A small group of loyal, repeat customers generates significantly higher order frequency than the average user base.</w:t>
            </w:r>
          </w:p>
        </w:tc>
      </w:tr>
    </w:tbl>
    <w:p>
      <w:pPr>
        <w:spacing w:after="80" w:before="80"/>
      </w:pPr>
      <w:r>
        <w:t xml:space="preserve"/>
      </w:r>
    </w:p>
    <w:p>
      <w:pPr>
        <w:pStyle w:val="Heading2"/>
        <w:spacing w:after="80" w:before="240"/>
      </w:pPr>
      <w:r>
        <w:rPr>
          <w:rFonts w:ascii="Arial" w:cs="Arial" w:eastAsia="Arial" w:hAnsi="Arial"/>
          <w:b/>
          <w:bCs/>
          <w:color w:val="2E86C1"/>
          <w:sz w:val="26"/>
          <w:szCs w:val="26"/>
        </w:rPr>
        <w:t xml:space="preserve">Key Findings</w:t>
      </w:r>
    </w:p>
    <w:p>
      <w:pPr>
        <w:pStyle w:val="ListParagraph"/>
        <w:numPr>
          <w:ilvl w:val="0"/>
          <w:numId w:val="2"/>
        </w:numPr>
        <w:spacing w:after="60" w:before="60"/>
      </w:pPr>
      <w:r>
        <w:rPr>
          <w:rFonts w:ascii="Arial" w:cs="Arial" w:eastAsia="Arial" w:hAnsi="Arial"/>
          <w:color w:val="2C2C2C"/>
          <w:sz w:val="22"/>
          <w:szCs w:val="22"/>
        </w:rPr>
        <w:t xml:space="preserve">Repeat buyers place orders at a higher-than-average frequency</w:t>
      </w:r>
    </w:p>
    <w:p>
      <w:pPr>
        <w:pStyle w:val="ListParagraph"/>
        <w:numPr>
          <w:ilvl w:val="0"/>
          <w:numId w:val="2"/>
        </w:numPr>
        <w:spacing w:after="60" w:before="60"/>
      </w:pPr>
      <w:r>
        <w:rPr>
          <w:rFonts w:ascii="Arial" w:cs="Arial" w:eastAsia="Arial" w:hAnsi="Arial"/>
          <w:color w:val="2C2C2C"/>
          <w:sz w:val="22"/>
          <w:szCs w:val="22"/>
        </w:rPr>
        <w:t xml:space="preserve">This cohort likely represents a disproportionate share of total revenue</w:t>
      </w:r>
    </w:p>
    <w:p>
      <w:pPr>
        <w:pStyle w:val="ListParagraph"/>
        <w:numPr>
          <w:ilvl w:val="0"/>
          <w:numId w:val="2"/>
        </w:numPr>
        <w:spacing w:after="60" w:before="60"/>
      </w:pPr>
      <w:r>
        <w:rPr>
          <w:rFonts w:ascii="Arial" w:cs="Arial" w:eastAsia="Arial" w:hAnsi="Arial"/>
          <w:color w:val="2C2C2C"/>
          <w:sz w:val="22"/>
          <w:szCs w:val="22"/>
        </w:rPr>
        <w:t xml:space="preserve">The average user has significantly lower engagement and order volume</w:t>
      </w:r>
    </w:p>
    <w:p>
      <w:pPr>
        <w:spacing w:after="80" w:before="80"/>
      </w:pPr>
      <w:r>
        <w:t xml:space="preserve"/>
      </w:r>
    </w:p>
    <w:p>
      <w:pPr>
        <w:pStyle w:val="Heading2"/>
        <w:spacing w:after="80" w:before="240"/>
      </w:pPr>
      <w:r>
        <w:rPr>
          <w:rFonts w:ascii="Arial" w:cs="Arial" w:eastAsia="Arial" w:hAnsi="Arial"/>
          <w:b/>
          <w:bCs/>
          <w:color w:val="2E86C1"/>
          <w:sz w:val="26"/>
          <w:szCs w:val="26"/>
        </w:rPr>
        <w:t xml:space="preserve">Implication</w:t>
      </w:r>
    </w:p>
    <w:p>
      <w:pPr>
        <w:spacing w:after="80" w:before="80"/>
      </w:pPr>
      <w:r>
        <w:rPr>
          <w:rFonts w:ascii="Arial" w:cs="Arial" w:eastAsia="Arial" w:hAnsi="Arial"/>
          <w:color w:val="2C2C2C"/>
          <w:sz w:val="22"/>
          <w:szCs w:val="22"/>
        </w:rPr>
        <w:t xml:space="preserve">Customer retention is clearly more valuable than acquisition in this context. Investing in loyalty programs, personalized experiences, and proactive re-engagement strategies for high-frequency buyers will yield strong returns.</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E8C" w:val="clear"/>
            <w:tcMar>
              <w:top w:type="dxa" w:w="140"/>
              <w:left w:type="dxa" w:w="200"/>
              <w:bottom w:type="dxa" w:w="140"/>
              <w:right w:type="dxa" w:w="200"/>
            </w:tcMar>
          </w:tcPr>
          <w:p>
            <w:pPr>
              <w:jc w:val="left"/>
            </w:pPr>
            <w:r>
              <w:rPr>
                <w:rFonts w:ascii="Arial" w:cs="Arial" w:eastAsia="Arial" w:hAnsi="Arial"/>
                <w:b/>
                <w:bCs/>
                <w:color w:val="FFFFFF"/>
                <w:sz w:val="24"/>
                <w:szCs w:val="24"/>
              </w:rPr>
              <w:t xml:space="preserve">3. GEOGRAPHIC DISTRIBUTION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86C1"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#3</w:t>
            </w:r>
          </w:p>
        </w:tc>
        <w:tc>
          <w:tcPr>
            <w:tcW w:type="dxa" w:w="8960"/>
            <w:tcBorders>
              <w:top w:val="single" w:color="CCCCCC" w:sz="1"/>
              <w:left w:val="none" w:color="FFFFFF" w:sz="0"/>
              <w:bottom w:val="single" w:color="CCCCCC" w:sz="1"/>
              <w:right w:val="single" w:color="CCCCCC" w:sz="1"/>
            </w:tcBorders>
            <w:shd w:fill="FEF9E7" w:val="clear"/>
            <w:tcMar>
              <w:top w:type="dxa" w:w="120"/>
              <w:left w:type="dxa" w:w="200"/>
              <w:bottom w:type="dxa" w:w="120"/>
              <w:right w:type="dxa" w:w="200"/>
            </w:tcMar>
          </w:tcPr>
          <w:p>
            <w:pPr>
              <w:spacing w:after="60" w:before="0"/>
            </w:pPr>
            <w:r>
              <w:rPr>
                <w:rFonts w:ascii="Arial" w:cs="Arial" w:eastAsia="Arial" w:hAnsi="Arial"/>
                <w:b/>
                <w:bCs/>
                <w:color w:val="1A1A2E"/>
                <w:sz w:val="22"/>
                <w:szCs w:val="22"/>
              </w:rPr>
              <w:t xml:space="preserve">Geographic Concentration in Key States</w:t>
            </w:r>
          </w:p>
          <w:p>
            <w:r>
              <w:rPr>
                <w:rFonts w:ascii="Arial" w:cs="Arial" w:eastAsia="Arial" w:hAnsi="Arial"/>
                <w:color w:val="444444"/>
                <w:sz w:val="20"/>
                <w:szCs w:val="20"/>
              </w:rPr>
              <w:t xml:space="preserve">Certain states, notably São Paulo, dominate both the customer base and order volume, pointing to geographic imbalance.</w:t>
            </w:r>
          </w:p>
        </w:tc>
      </w:tr>
    </w:tbl>
    <w:p>
      <w:pPr>
        <w:spacing w:after="80" w:before="80"/>
      </w:pPr>
      <w:r>
        <w:t xml:space="preserve"/>
      </w:r>
    </w:p>
    <w:p>
      <w:pPr>
        <w:pStyle w:val="Heading2"/>
        <w:spacing w:after="80" w:before="240"/>
      </w:pPr>
      <w:r>
        <w:rPr>
          <w:rFonts w:ascii="Arial" w:cs="Arial" w:eastAsia="Arial" w:hAnsi="Arial"/>
          <w:b/>
          <w:bCs/>
          <w:color w:val="2E86C1"/>
          <w:sz w:val="26"/>
          <w:szCs w:val="26"/>
        </w:rPr>
        <w:t xml:space="preserve">Key Findings</w:t>
      </w:r>
    </w:p>
    <w:p>
      <w:pPr>
        <w:pStyle w:val="ListParagraph"/>
        <w:numPr>
          <w:ilvl w:val="0"/>
          <w:numId w:val="2"/>
        </w:numPr>
        <w:spacing w:after="60" w:before="60"/>
      </w:pPr>
      <w:r>
        <w:rPr>
          <w:rFonts w:ascii="Arial" w:cs="Arial" w:eastAsia="Arial" w:hAnsi="Arial"/>
          <w:color w:val="2C2C2C"/>
          <w:sz w:val="22"/>
          <w:szCs w:val="22"/>
        </w:rPr>
        <w:t xml:space="preserve">São Paulo accounts for a dominant share of customers and orders</w:t>
      </w:r>
    </w:p>
    <w:p>
      <w:pPr>
        <w:pStyle w:val="ListParagraph"/>
        <w:numPr>
          <w:ilvl w:val="0"/>
          <w:numId w:val="2"/>
        </w:numPr>
        <w:spacing w:after="60" w:before="60"/>
      </w:pPr>
      <w:r>
        <w:rPr>
          <w:rFonts w:ascii="Arial" w:cs="Arial" w:eastAsia="Arial" w:hAnsi="Arial"/>
          <w:color w:val="2C2C2C"/>
          <w:sz w:val="22"/>
          <w:szCs w:val="22"/>
        </w:rPr>
        <w:t xml:space="preserve">Other states show significantly lower penetration</w:t>
      </w:r>
    </w:p>
    <w:p>
      <w:pPr>
        <w:pStyle w:val="ListParagraph"/>
        <w:numPr>
          <w:ilvl w:val="0"/>
          <w:numId w:val="2"/>
        </w:numPr>
        <w:spacing w:after="60" w:before="60"/>
      </w:pPr>
      <w:r>
        <w:rPr>
          <w:rFonts w:ascii="Arial" w:cs="Arial" w:eastAsia="Arial" w:hAnsi="Arial"/>
          <w:color w:val="2C2C2C"/>
          <w:sz w:val="22"/>
          <w:szCs w:val="22"/>
        </w:rPr>
        <w:t xml:space="preserve">Geographic concentration mirrors revenue concentration risks</w:t>
      </w:r>
    </w:p>
    <w:p>
      <w:pPr>
        <w:spacing w:after="80" w:before="80"/>
      </w:pPr>
      <w:r>
        <w:t xml:space="preserve"/>
      </w:r>
    </w:p>
    <w:p>
      <w:pPr>
        <w:pStyle w:val="Heading2"/>
        <w:spacing w:after="80" w:before="240"/>
      </w:pPr>
      <w:r>
        <w:rPr>
          <w:rFonts w:ascii="Arial" w:cs="Arial" w:eastAsia="Arial" w:hAnsi="Arial"/>
          <w:b/>
          <w:bCs/>
          <w:color w:val="2E86C1"/>
          <w:sz w:val="26"/>
          <w:szCs w:val="26"/>
        </w:rPr>
        <w:t xml:space="preserve">Implication</w:t>
      </w:r>
    </w:p>
    <w:p>
      <w:pPr>
        <w:spacing w:after="80" w:before="80"/>
      </w:pPr>
      <w:r>
        <w:rPr>
          <w:rFonts w:ascii="Arial" w:cs="Arial" w:eastAsia="Arial" w:hAnsi="Arial"/>
          <w:color w:val="2C2C2C"/>
          <w:sz w:val="22"/>
          <w:szCs w:val="22"/>
        </w:rPr>
        <w:t xml:space="preserve">While market strength in São Paulo is a competitive advantage, the business is exposed to regional economic or regulatory risks. Expanding presence in underrepresented states offers a clear path to sustainable growth and diversification.</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E8C" w:val="clear"/>
            <w:tcMar>
              <w:top w:type="dxa" w:w="140"/>
              <w:left w:type="dxa" w:w="200"/>
              <w:bottom w:type="dxa" w:w="140"/>
              <w:right w:type="dxa" w:w="200"/>
            </w:tcMar>
          </w:tcPr>
          <w:p>
            <w:pPr>
              <w:jc w:val="left"/>
            </w:pPr>
            <w:r>
              <w:rPr>
                <w:rFonts w:ascii="Arial" w:cs="Arial" w:eastAsia="Arial" w:hAnsi="Arial"/>
                <w:b/>
                <w:bCs/>
                <w:color w:val="FFFFFF"/>
                <w:sz w:val="24"/>
                <w:szCs w:val="24"/>
              </w:rPr>
              <w:t xml:space="preserve">4. PRODUCT PERFORMANCE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86C1"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#4</w:t>
            </w:r>
          </w:p>
        </w:tc>
        <w:tc>
          <w:tcPr>
            <w:tcW w:type="dxa" w:w="89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200"/>
            </w:tcMar>
          </w:tcPr>
          <w:p>
            <w:pPr>
              <w:spacing w:after="60" w:before="0"/>
            </w:pPr>
            <w:r>
              <w:rPr>
                <w:rFonts w:ascii="Arial" w:cs="Arial" w:eastAsia="Arial" w:hAnsi="Arial"/>
                <w:b/>
                <w:bCs/>
                <w:color w:val="1A1A2E"/>
                <w:sz w:val="22"/>
                <w:szCs w:val="22"/>
              </w:rPr>
              <w:t xml:space="preserve">High-Value Products with Low Volume</w:t>
            </w:r>
          </w:p>
          <w:p>
            <w:r>
              <w:rPr>
                <w:rFonts w:ascii="Arial" w:cs="Arial" w:eastAsia="Arial" w:hAnsi="Arial"/>
                <w:color w:val="444444"/>
                <w:sz w:val="20"/>
                <w:szCs w:val="20"/>
              </w:rPr>
              <w:t xml:space="preserve">Some product categories generate high revenue despite relatively few orders, indicating premium, high-value product lines.</w:t>
            </w:r>
          </w:p>
        </w:tc>
      </w:tr>
    </w:tbl>
    <w:p>
      <w:pPr>
        <w:spacing w:after="80" w:before="80"/>
      </w:pPr>
      <w:r>
        <w:t xml:space="preserve"/>
      </w:r>
    </w:p>
    <w:p>
      <w:pPr>
        <w:pStyle w:val="Heading2"/>
        <w:spacing w:after="80" w:before="240"/>
      </w:pPr>
      <w:r>
        <w:rPr>
          <w:rFonts w:ascii="Arial" w:cs="Arial" w:eastAsia="Arial" w:hAnsi="Arial"/>
          <w:b/>
          <w:bCs/>
          <w:color w:val="2E86C1"/>
          <w:sz w:val="26"/>
          <w:szCs w:val="26"/>
        </w:rPr>
        <w:t xml:space="preserve">Key Findings</w:t>
      </w:r>
    </w:p>
    <w:p>
      <w:pPr>
        <w:pStyle w:val="ListParagraph"/>
        <w:numPr>
          <w:ilvl w:val="0"/>
          <w:numId w:val="2"/>
        </w:numPr>
        <w:spacing w:after="60" w:before="60"/>
      </w:pPr>
      <w:r>
        <w:rPr>
          <w:rFonts w:ascii="Arial" w:cs="Arial" w:eastAsia="Arial" w:hAnsi="Arial"/>
          <w:color w:val="2C2C2C"/>
          <w:sz w:val="22"/>
          <w:szCs w:val="22"/>
        </w:rPr>
        <w:t xml:space="preserve">Certain categories achieve high revenue with lower order counts</w:t>
      </w:r>
    </w:p>
    <w:p>
      <w:pPr>
        <w:pStyle w:val="ListParagraph"/>
        <w:numPr>
          <w:ilvl w:val="0"/>
          <w:numId w:val="2"/>
        </w:numPr>
        <w:spacing w:after="60" w:before="60"/>
      </w:pPr>
      <w:r>
        <w:rPr>
          <w:rFonts w:ascii="Arial" w:cs="Arial" w:eastAsia="Arial" w:hAnsi="Arial"/>
          <w:color w:val="2C2C2C"/>
          <w:sz w:val="22"/>
          <w:szCs w:val="22"/>
        </w:rPr>
        <w:t xml:space="preserve">These represent high Average Order Value (AOV) segments</w:t>
      </w:r>
    </w:p>
    <w:p>
      <w:pPr>
        <w:pStyle w:val="ListParagraph"/>
        <w:numPr>
          <w:ilvl w:val="0"/>
          <w:numId w:val="2"/>
        </w:numPr>
        <w:spacing w:after="60" w:before="60"/>
      </w:pPr>
      <w:r>
        <w:rPr>
          <w:rFonts w:ascii="Arial" w:cs="Arial" w:eastAsia="Arial" w:hAnsi="Arial"/>
          <w:color w:val="2C2C2C"/>
          <w:sz w:val="22"/>
          <w:szCs w:val="22"/>
        </w:rPr>
        <w:t xml:space="preserve">Other categories show high volume but lower revenue impact</w:t>
      </w:r>
    </w:p>
    <w:p>
      <w:pPr>
        <w:spacing w:after="80" w:before="80"/>
      </w:pPr>
      <w:r>
        <w:t xml:space="preserve"/>
      </w:r>
    </w:p>
    <w:p>
      <w:pPr>
        <w:pStyle w:val="Heading2"/>
        <w:spacing w:after="80" w:before="240"/>
      </w:pPr>
      <w:r>
        <w:rPr>
          <w:rFonts w:ascii="Arial" w:cs="Arial" w:eastAsia="Arial" w:hAnsi="Arial"/>
          <w:b/>
          <w:bCs/>
          <w:color w:val="2E86C1"/>
          <w:sz w:val="26"/>
          <w:szCs w:val="26"/>
        </w:rPr>
        <w:t xml:space="preserve">Implication</w:t>
      </w:r>
    </w:p>
    <w:p>
      <w:pPr>
        <w:spacing w:after="80" w:before="80"/>
      </w:pPr>
      <w:r>
        <w:rPr>
          <w:rFonts w:ascii="Arial" w:cs="Arial" w:eastAsia="Arial" w:hAnsi="Arial"/>
          <w:color w:val="2C2C2C"/>
          <w:sz w:val="22"/>
          <w:szCs w:val="22"/>
        </w:rPr>
        <w:t xml:space="preserve">High-AOV categories deserve dedicated marketing investment to increase their visibility and capture. Meanwhile, high-volume but low-revenue categories should be reviewed for pricing optimization or cost reduction opportunities.</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E8C" w:val="clear"/>
            <w:tcMar>
              <w:top w:type="dxa" w:w="140"/>
              <w:left w:type="dxa" w:w="200"/>
              <w:bottom w:type="dxa" w:w="140"/>
              <w:right w:type="dxa" w:w="200"/>
            </w:tcMar>
          </w:tcPr>
          <w:p>
            <w:pPr>
              <w:jc w:val="left"/>
            </w:pPr>
            <w:r>
              <w:rPr>
                <w:rFonts w:ascii="Arial" w:cs="Arial" w:eastAsia="Arial" w:hAnsi="Arial"/>
                <w:b/>
                <w:bCs/>
                <w:color w:val="FFFFFF"/>
                <w:sz w:val="24"/>
                <w:szCs w:val="24"/>
              </w:rPr>
              <w:t xml:space="preserve">5. DELIVERY PERFORMANCE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none" w:color="FFFFFF" w:sz="0"/>
              <w:left w:val="none" w:color="FFFFFF" w:sz="0"/>
              <w:bottom w:val="none" w:color="FFFFFF" w:sz="0"/>
              <w:right w:val="none" w:color="FFFFFF" w:sz="0"/>
            </w:tcBorders>
            <w:shd w:fill="2E86C1" w:val="clear"/>
            <w:tcMar>
              <w:top w:type="dxa" w:w="120"/>
              <w:left w:type="dxa" w:w="120"/>
              <w:bottom w:type="dxa" w:w="120"/>
              <w:right w:type="dxa" w:w="120"/>
            </w:tcMar>
            <w:vAlign w:val="center"/>
          </w:tcPr>
          <w:p>
            <w:pPr>
              <w:jc w:val="center"/>
            </w:pPr>
            <w:r>
              <w:rPr>
                <w:rFonts w:ascii="Arial" w:cs="Arial" w:eastAsia="Arial" w:hAnsi="Arial"/>
                <w:b/>
                <w:bCs/>
                <w:color w:val="FFFFFF"/>
                <w:sz w:val="28"/>
                <w:szCs w:val="28"/>
              </w:rPr>
              <w:t xml:space="preserve">#5</w:t>
            </w:r>
          </w:p>
        </w:tc>
        <w:tc>
          <w:tcPr>
            <w:tcW w:type="dxa" w:w="8960"/>
            <w:tcBorders>
              <w:top w:val="single" w:color="CCCCCC" w:sz="1"/>
              <w:left w:val="none" w:color="FFFFFF" w:sz="0"/>
              <w:bottom w:val="single" w:color="CCCCCC" w:sz="1"/>
              <w:right w:val="single" w:color="CCCCCC" w:sz="1"/>
            </w:tcBorders>
            <w:shd w:fill="FDEDEC" w:val="clear"/>
            <w:tcMar>
              <w:top w:type="dxa" w:w="120"/>
              <w:left w:type="dxa" w:w="200"/>
              <w:bottom w:type="dxa" w:w="120"/>
              <w:right w:type="dxa" w:w="200"/>
            </w:tcMar>
          </w:tcPr>
          <w:p>
            <w:pPr>
              <w:spacing w:after="60" w:before="0"/>
            </w:pPr>
            <w:r>
              <w:rPr>
                <w:rFonts w:ascii="Arial" w:cs="Arial" w:eastAsia="Arial" w:hAnsi="Arial"/>
                <w:b/>
                <w:bCs/>
                <w:color w:val="1A1A2E"/>
                <w:sz w:val="22"/>
                <w:szCs w:val="22"/>
              </w:rPr>
              <w:t xml:space="preserve">Logistics Inefficiency Detected</w:t>
            </w:r>
          </w:p>
          <w:p>
            <w:r>
              <w:rPr>
                <w:rFonts w:ascii="Arial" w:cs="Arial" w:eastAsia="Arial" w:hAnsi="Arial"/>
                <w:color w:val="444444"/>
                <w:sz w:val="20"/>
                <w:szCs w:val="20"/>
              </w:rPr>
              <w:t xml:space="preserve">A noticeable proportion of orders are delivered after the estimated delivery date, signaling systemic logistics issues.</w:t>
            </w:r>
          </w:p>
        </w:tc>
      </w:tr>
    </w:tbl>
    <w:p>
      <w:pPr>
        <w:spacing w:after="80" w:before="80"/>
      </w:pPr>
      <w:r>
        <w:t xml:space="preserve"/>
      </w:r>
    </w:p>
    <w:p>
      <w:pPr>
        <w:pStyle w:val="Heading2"/>
        <w:spacing w:after="80" w:before="240"/>
      </w:pPr>
      <w:r>
        <w:rPr>
          <w:rFonts w:ascii="Arial" w:cs="Arial" w:eastAsia="Arial" w:hAnsi="Arial"/>
          <w:b/>
          <w:bCs/>
          <w:color w:val="2E86C1"/>
          <w:sz w:val="26"/>
          <w:szCs w:val="26"/>
        </w:rPr>
        <w:t xml:space="preserve">Key Findings</w:t>
      </w:r>
    </w:p>
    <w:p>
      <w:pPr>
        <w:pStyle w:val="ListParagraph"/>
        <w:numPr>
          <w:ilvl w:val="0"/>
          <w:numId w:val="2"/>
        </w:numPr>
        <w:spacing w:after="60" w:before="60"/>
      </w:pPr>
      <w:r>
        <w:rPr>
          <w:rFonts w:ascii="Arial" w:cs="Arial" w:eastAsia="Arial" w:hAnsi="Arial"/>
          <w:color w:val="2C2C2C"/>
          <w:sz w:val="22"/>
          <w:szCs w:val="22"/>
        </w:rPr>
        <w:t xml:space="preserve">Late deliveries exceed acceptable thresholds in multiple regions</w:t>
      </w:r>
    </w:p>
    <w:p>
      <w:pPr>
        <w:pStyle w:val="ListParagraph"/>
        <w:numPr>
          <w:ilvl w:val="0"/>
          <w:numId w:val="2"/>
        </w:numPr>
        <w:spacing w:after="60" w:before="60"/>
      </w:pPr>
      <w:r>
        <w:rPr>
          <w:rFonts w:ascii="Arial" w:cs="Arial" w:eastAsia="Arial" w:hAnsi="Arial"/>
          <w:color w:val="2C2C2C"/>
          <w:sz w:val="22"/>
          <w:szCs w:val="22"/>
        </w:rPr>
        <w:t xml:space="preserve">The gap between estimated and actual delivery times impacts customer satisfaction</w:t>
      </w:r>
    </w:p>
    <w:p>
      <w:pPr>
        <w:pStyle w:val="ListParagraph"/>
        <w:numPr>
          <w:ilvl w:val="0"/>
          <w:numId w:val="2"/>
        </w:numPr>
        <w:spacing w:after="60" w:before="60"/>
      </w:pPr>
      <w:r>
        <w:rPr>
          <w:rFonts w:ascii="Arial" w:cs="Arial" w:eastAsia="Arial" w:hAnsi="Arial"/>
          <w:color w:val="2C2C2C"/>
          <w:sz w:val="22"/>
          <w:szCs w:val="22"/>
        </w:rPr>
        <w:t xml:space="preserve">Logistics partners or internal processes may need review</w:t>
      </w:r>
    </w:p>
    <w:p>
      <w:pPr>
        <w:spacing w:after="80" w:before="80"/>
      </w:pPr>
      <w:r>
        <w:t xml:space="preserve"/>
      </w:r>
    </w:p>
    <w:p>
      <w:pPr>
        <w:pStyle w:val="Heading2"/>
        <w:spacing w:after="80" w:before="240"/>
      </w:pPr>
      <w:r>
        <w:rPr>
          <w:rFonts w:ascii="Arial" w:cs="Arial" w:eastAsia="Arial" w:hAnsi="Arial"/>
          <w:b/>
          <w:bCs/>
          <w:color w:val="2E86C1"/>
          <w:sz w:val="26"/>
          <w:szCs w:val="26"/>
        </w:rPr>
        <w:t xml:space="preserve">Implication</w:t>
      </w:r>
    </w:p>
    <w:p>
      <w:pPr>
        <w:spacing w:after="80" w:before="80"/>
      </w:pPr>
      <w:r>
        <w:rPr>
          <w:rFonts w:ascii="Arial" w:cs="Arial" w:eastAsia="Arial" w:hAnsi="Arial"/>
          <w:color w:val="2C2C2C"/>
          <w:sz w:val="22"/>
          <w:szCs w:val="22"/>
        </w:rPr>
        <w:t xml:space="preserve">Delivery performance directly impacts customer trust and repeat purchase rates. Given the importance of repeat customers to overall revenue (see Insight 2), resolving delivery issues is a high-priority operational fix with clear revenue upside.</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4E8C" w:val="clear"/>
            <w:tcMar>
              <w:top w:type="dxa" w:w="140"/>
              <w:left w:type="dxa" w:w="200"/>
              <w:bottom w:type="dxa" w:w="140"/>
              <w:right w:type="dxa" w:w="200"/>
            </w:tcMar>
          </w:tcPr>
          <w:p>
            <w:pPr>
              <w:jc w:val="left"/>
            </w:pPr>
            <w:r>
              <w:rPr>
                <w:rFonts w:ascii="Arial" w:cs="Arial" w:eastAsia="Arial" w:hAnsi="Arial"/>
                <w:b/>
                <w:bCs/>
                <w:color w:val="FFFFFF"/>
                <w:sz w:val="24"/>
                <w:szCs w:val="24"/>
              </w:rPr>
              <w:t xml:space="preserve">RECOMMENDATIONS SUMMARY</w:t>
            </w:r>
          </w:p>
        </w:tc>
      </w:tr>
    </w:tbl>
    <w:p>
      <w:pPr>
        <w:spacing w:after="80" w:before="80"/>
      </w:pPr>
      <w:r>
        <w:t xml:space="preserve"/>
      </w:r>
    </w:p>
    <w:p>
      <w:pPr>
        <w:spacing w:after="80" w:before="80"/>
      </w:pPr>
      <w:r>
        <w:rPr>
          <w:rFonts w:ascii="Arial" w:cs="Arial" w:eastAsia="Arial" w:hAnsi="Arial"/>
          <w:b/>
          <w:bCs/>
          <w:color w:val="2C2C2C"/>
          <w:sz w:val="22"/>
          <w:szCs w:val="22"/>
        </w:rPr>
        <w:t xml:space="preserve">Based on the five insights above, the following actions are recommended in order of priority: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860"/>
        <w:gridCol w:w="1000"/>
      </w:tblGrid>
      <w:tr>
        <w:tc>
          <w:tcPr>
            <w:tcW w:type="dxa" w:w="500"/>
            <w:tcBorders>
              <w:top w:val="none" w:color="FFFFFF" w:sz="0"/>
              <w:left w:val="none" w:color="FFFFFF" w:sz="0"/>
              <w:bottom w:val="none" w:color="FFFFFF" w:sz="0"/>
              <w:right w:val="none" w:color="FFFFFF" w:sz="0"/>
            </w:tcBorders>
            <w:shd w:fill="1E4E8C"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01</w:t>
            </w:r>
          </w:p>
        </w:tc>
        <w:tc>
          <w:tcPr>
            <w:tcW w:type="dxa" w:w="7860"/>
            <w:tcBorders>
              <w:top w:val="single" w:color="CCCCCC" w:sz="1"/>
              <w:left w:val="none" w:color="FFFFFF" w:sz="0"/>
              <w:bottom w:val="single" w:color="CCCCCC" w:sz="1"/>
              <w:right w:val="single" w:color="CCCCCC" w:sz="1"/>
            </w:tcBorders>
            <w:tcMar>
              <w:top w:type="dxa" w:w="100"/>
              <w:left w:type="dxa" w:w="160"/>
              <w:bottom w:type="dxa" w:w="100"/>
              <w:right w:type="dxa" w:w="160"/>
            </w:tcMar>
          </w:tcPr>
          <w:p>
            <w:r>
              <w:rPr>
                <w:rFonts w:ascii="Arial" w:cs="Arial" w:eastAsia="Arial" w:hAnsi="Arial"/>
                <w:color w:val="2C2C2C"/>
                <w:sz w:val="20"/>
                <w:szCs w:val="20"/>
              </w:rPr>
              <w:t xml:space="preserve">Audit and fix logistics processes causing late deliveries — set SLA targets and monitor weekly</w:t>
            </w:r>
          </w:p>
        </w:tc>
        <w:tc>
          <w:tcPr>
            <w:tcW w:type="dxa" w:w="1000"/>
            <w:tcBorders>
              <w:top w:val="single" w:color="CCCCCC" w:sz="1"/>
              <w:left w:val="none" w:color="FFFFFF" w:sz="0"/>
              <w:bottom w:val="single" w:color="CCCCCC" w:sz="1"/>
              <w:right w:val="single" w:color="CCCCCC" w:sz="1"/>
            </w:tcBorders>
            <w:shd w:fill="FDEDEC" w:val="clear"/>
            <w:tcMar>
              <w:top w:type="dxa" w:w="100"/>
              <w:left w:type="dxa" w:w="80"/>
              <w:bottom w:type="dxa" w:w="100"/>
              <w:right w:type="dxa" w:w="80"/>
            </w:tcMar>
            <w:vAlign w:val="center"/>
          </w:tcPr>
          <w:p>
            <w:pPr>
              <w:jc w:val="center"/>
            </w:pPr>
            <w:r>
              <w:rPr>
                <w:rFonts w:ascii="Arial" w:cs="Arial" w:eastAsia="Arial" w:hAnsi="Arial"/>
                <w:b/>
                <w:bCs/>
                <w:color w:val="C0392B"/>
                <w:sz w:val="16"/>
                <w:szCs w:val="16"/>
              </w:rPr>
              <w:t xml:space="preserve">High Priority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860"/>
        <w:gridCol w:w="1000"/>
      </w:tblGrid>
      <w:tr>
        <w:tc>
          <w:tcPr>
            <w:tcW w:type="dxa" w:w="500"/>
            <w:tcBorders>
              <w:top w:val="none" w:color="FFFFFF" w:sz="0"/>
              <w:left w:val="none" w:color="FFFFFF" w:sz="0"/>
              <w:bottom w:val="none" w:color="FFFFFF" w:sz="0"/>
              <w:right w:val="none" w:color="FFFFFF" w:sz="0"/>
            </w:tcBorders>
            <w:shd w:fill="1E4E8C"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02</w:t>
            </w:r>
          </w:p>
        </w:tc>
        <w:tc>
          <w:tcPr>
            <w:tcW w:type="dxa" w:w="7860"/>
            <w:tcBorders>
              <w:top w:val="single" w:color="CCCCCC" w:sz="1"/>
              <w:left w:val="none" w:color="FFFFFF" w:sz="0"/>
              <w:bottom w:val="single" w:color="CCCCCC" w:sz="1"/>
              <w:right w:val="single" w:color="CCCCCC" w:sz="1"/>
            </w:tcBorders>
            <w:tcMar>
              <w:top w:type="dxa" w:w="100"/>
              <w:left w:type="dxa" w:w="160"/>
              <w:bottom w:type="dxa" w:w="100"/>
              <w:right w:type="dxa" w:w="160"/>
            </w:tcMar>
          </w:tcPr>
          <w:p>
            <w:r>
              <w:rPr>
                <w:rFonts w:ascii="Arial" w:cs="Arial" w:eastAsia="Arial" w:hAnsi="Arial"/>
                <w:color w:val="2C2C2C"/>
                <w:sz w:val="20"/>
                <w:szCs w:val="20"/>
              </w:rPr>
              <w:t xml:space="preserve">Launch a loyalty and retention program targeting repeat high-frequency customers</w:t>
            </w:r>
          </w:p>
        </w:tc>
        <w:tc>
          <w:tcPr>
            <w:tcW w:type="dxa" w:w="1000"/>
            <w:tcBorders>
              <w:top w:val="single" w:color="CCCCCC" w:sz="1"/>
              <w:left w:val="none" w:color="FFFFFF" w:sz="0"/>
              <w:bottom w:val="single" w:color="CCCCCC" w:sz="1"/>
              <w:right w:val="single" w:color="CCCCCC" w:sz="1"/>
            </w:tcBorders>
            <w:shd w:fill="FDEDEC" w:val="clear"/>
            <w:tcMar>
              <w:top w:type="dxa" w:w="100"/>
              <w:left w:type="dxa" w:w="80"/>
              <w:bottom w:type="dxa" w:w="100"/>
              <w:right w:type="dxa" w:w="80"/>
            </w:tcMar>
            <w:vAlign w:val="center"/>
          </w:tcPr>
          <w:p>
            <w:pPr>
              <w:jc w:val="center"/>
            </w:pPr>
            <w:r>
              <w:rPr>
                <w:rFonts w:ascii="Arial" w:cs="Arial" w:eastAsia="Arial" w:hAnsi="Arial"/>
                <w:b/>
                <w:bCs/>
                <w:color w:val="C0392B"/>
                <w:sz w:val="16"/>
                <w:szCs w:val="16"/>
              </w:rPr>
              <w:t xml:space="preserve">High Priority</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860"/>
        <w:gridCol w:w="1000"/>
      </w:tblGrid>
      <w:tr>
        <w:tc>
          <w:tcPr>
            <w:tcW w:type="dxa" w:w="500"/>
            <w:tcBorders>
              <w:top w:val="none" w:color="FFFFFF" w:sz="0"/>
              <w:left w:val="none" w:color="FFFFFF" w:sz="0"/>
              <w:bottom w:val="none" w:color="FFFFFF" w:sz="0"/>
              <w:right w:val="none" w:color="FFFFFF" w:sz="0"/>
            </w:tcBorders>
            <w:shd w:fill="1E4E8C"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03</w:t>
            </w:r>
          </w:p>
        </w:tc>
        <w:tc>
          <w:tcPr>
            <w:tcW w:type="dxa" w:w="7860"/>
            <w:tcBorders>
              <w:top w:val="single" w:color="CCCCCC" w:sz="1"/>
              <w:left w:val="none" w:color="FFFFFF" w:sz="0"/>
              <w:bottom w:val="single" w:color="CCCCCC" w:sz="1"/>
              <w:right w:val="single" w:color="CCCCCC" w:sz="1"/>
            </w:tcBorders>
            <w:tcMar>
              <w:top w:type="dxa" w:w="100"/>
              <w:left w:type="dxa" w:w="160"/>
              <w:bottom w:type="dxa" w:w="100"/>
              <w:right w:type="dxa" w:w="160"/>
            </w:tcMar>
          </w:tcPr>
          <w:p>
            <w:r>
              <w:rPr>
                <w:rFonts w:ascii="Arial" w:cs="Arial" w:eastAsia="Arial" w:hAnsi="Arial"/>
                <w:color w:val="2C2C2C"/>
                <w:sz w:val="20"/>
                <w:szCs w:val="20"/>
              </w:rPr>
              <w:t xml:space="preserve">Invest in marketing for high-AOV product categories to increase their order volume</w:t>
            </w:r>
          </w:p>
        </w:tc>
        <w:tc>
          <w:tcPr>
            <w:tcW w:type="dxa" w:w="1000"/>
            <w:tcBorders>
              <w:top w:val="single" w:color="CCCCCC" w:sz="1"/>
              <w:left w:val="none" w:color="FFFFFF" w:sz="0"/>
              <w:bottom w:val="single" w:color="CCCCCC" w:sz="1"/>
              <w:right w:val="single" w:color="CCCCCC" w:sz="1"/>
            </w:tcBorders>
            <w:shd w:fill="FEF9E7" w:val="clear"/>
            <w:tcMar>
              <w:top w:type="dxa" w:w="100"/>
              <w:left w:type="dxa" w:w="80"/>
              <w:bottom w:type="dxa" w:w="100"/>
              <w:right w:type="dxa" w:w="80"/>
            </w:tcMar>
            <w:vAlign w:val="center"/>
          </w:tcPr>
          <w:p>
            <w:pPr>
              <w:jc w:val="center"/>
            </w:pPr>
            <w:r>
              <w:rPr>
                <w:rFonts w:ascii="Arial" w:cs="Arial" w:eastAsia="Arial" w:hAnsi="Arial"/>
                <w:b/>
                <w:bCs/>
                <w:color w:val="D4AC0D"/>
                <w:sz w:val="16"/>
                <w:szCs w:val="16"/>
              </w:rPr>
              <w:t xml:space="preserve">Medium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860"/>
        <w:gridCol w:w="1000"/>
      </w:tblGrid>
      <w:tr>
        <w:tc>
          <w:tcPr>
            <w:tcW w:type="dxa" w:w="500"/>
            <w:tcBorders>
              <w:top w:val="none" w:color="FFFFFF" w:sz="0"/>
              <w:left w:val="none" w:color="FFFFFF" w:sz="0"/>
              <w:bottom w:val="none" w:color="FFFFFF" w:sz="0"/>
              <w:right w:val="none" w:color="FFFFFF" w:sz="0"/>
            </w:tcBorders>
            <w:shd w:fill="1E4E8C"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04</w:t>
            </w:r>
          </w:p>
        </w:tc>
        <w:tc>
          <w:tcPr>
            <w:tcW w:type="dxa" w:w="7860"/>
            <w:tcBorders>
              <w:top w:val="single" w:color="CCCCCC" w:sz="1"/>
              <w:left w:val="none" w:color="FFFFFF" w:sz="0"/>
              <w:bottom w:val="single" w:color="CCCCCC" w:sz="1"/>
              <w:right w:val="single" w:color="CCCCCC" w:sz="1"/>
            </w:tcBorders>
            <w:tcMar>
              <w:top w:type="dxa" w:w="100"/>
              <w:left w:type="dxa" w:w="160"/>
              <w:bottom w:type="dxa" w:w="100"/>
              <w:right w:type="dxa" w:w="160"/>
            </w:tcMar>
          </w:tcPr>
          <w:p>
            <w:r>
              <w:rPr>
                <w:rFonts w:ascii="Arial" w:cs="Arial" w:eastAsia="Arial" w:hAnsi="Arial"/>
                <w:color w:val="2C2C2C"/>
                <w:sz w:val="20"/>
                <w:szCs w:val="20"/>
              </w:rPr>
              <w:t xml:space="preserve">Develop geographic expansion strategy to reduce dependency on São Paulo</w:t>
            </w:r>
          </w:p>
        </w:tc>
        <w:tc>
          <w:tcPr>
            <w:tcW w:type="dxa" w:w="1000"/>
            <w:tcBorders>
              <w:top w:val="single" w:color="CCCCCC" w:sz="1"/>
              <w:left w:val="none" w:color="FFFFFF" w:sz="0"/>
              <w:bottom w:val="single" w:color="CCCCCC" w:sz="1"/>
              <w:right w:val="single" w:color="CCCCCC" w:sz="1"/>
            </w:tcBorders>
            <w:shd w:fill="FEF9E7" w:val="clear"/>
            <w:tcMar>
              <w:top w:type="dxa" w:w="100"/>
              <w:left w:type="dxa" w:w="80"/>
              <w:bottom w:type="dxa" w:w="100"/>
              <w:right w:type="dxa" w:w="80"/>
            </w:tcMar>
            <w:vAlign w:val="center"/>
          </w:tcPr>
          <w:p>
            <w:pPr>
              <w:jc w:val="center"/>
            </w:pPr>
            <w:r>
              <w:rPr>
                <w:rFonts w:ascii="Arial" w:cs="Arial" w:eastAsia="Arial" w:hAnsi="Arial"/>
                <w:b/>
                <w:bCs/>
                <w:color w:val="D4AC0D"/>
                <w:sz w:val="16"/>
                <w:szCs w:val="16"/>
              </w:rPr>
              <w:t xml:space="preserve">Medium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860"/>
        <w:gridCol w:w="1000"/>
      </w:tblGrid>
      <w:tr>
        <w:tc>
          <w:tcPr>
            <w:tcW w:type="dxa" w:w="500"/>
            <w:tcBorders>
              <w:top w:val="none" w:color="FFFFFF" w:sz="0"/>
              <w:left w:val="none" w:color="FFFFFF" w:sz="0"/>
              <w:bottom w:val="none" w:color="FFFFFF" w:sz="0"/>
              <w:right w:val="none" w:color="FFFFFF" w:sz="0"/>
            </w:tcBorders>
            <w:shd w:fill="1E4E8C" w:val="clear"/>
            <w:tcMar>
              <w:top w:type="dxa" w:w="100"/>
              <w:left w:type="dxa" w:w="100"/>
              <w:bottom w:type="dxa" w:w="100"/>
              <w:right w:type="dxa" w:w="100"/>
            </w:tcMar>
            <w:vAlign w:val="center"/>
          </w:tcPr>
          <w:p>
            <w:pPr>
              <w:jc w:val="center"/>
            </w:pPr>
            <w:r>
              <w:rPr>
                <w:rFonts w:ascii="Arial" w:cs="Arial" w:eastAsia="Arial" w:hAnsi="Arial"/>
                <w:b/>
                <w:bCs/>
                <w:color w:val="FFFFFF"/>
                <w:sz w:val="22"/>
                <w:szCs w:val="22"/>
              </w:rPr>
              <w:t xml:space="preserve">05</w:t>
            </w:r>
          </w:p>
        </w:tc>
        <w:tc>
          <w:tcPr>
            <w:tcW w:type="dxa" w:w="7860"/>
            <w:tcBorders>
              <w:top w:val="single" w:color="CCCCCC" w:sz="1"/>
              <w:left w:val="none" w:color="FFFFFF" w:sz="0"/>
              <w:bottom w:val="single" w:color="CCCCCC" w:sz="1"/>
              <w:right w:val="single" w:color="CCCCCC" w:sz="1"/>
            </w:tcBorders>
            <w:tcMar>
              <w:top w:type="dxa" w:w="100"/>
              <w:left w:type="dxa" w:w="160"/>
              <w:bottom w:type="dxa" w:w="100"/>
              <w:right w:type="dxa" w:w="160"/>
            </w:tcMar>
          </w:tcPr>
          <w:p>
            <w:r>
              <w:rPr>
                <w:rFonts w:ascii="Arial" w:cs="Arial" w:eastAsia="Arial" w:hAnsi="Arial"/>
                <w:color w:val="2C2C2C"/>
                <w:sz w:val="20"/>
                <w:szCs w:val="20"/>
              </w:rPr>
              <w:t xml:space="preserve">Diversify product category revenue mix to reduce Pareto concentration risk</w:t>
            </w:r>
          </w:p>
        </w:tc>
        <w:tc>
          <w:tcPr>
            <w:tcW w:type="dxa" w:w="1000"/>
            <w:tcBorders>
              <w:top w:val="single" w:color="CCCCCC" w:sz="1"/>
              <w:left w:val="none" w:color="FFFFFF" w:sz="0"/>
              <w:bottom w:val="single" w:color="CCCCCC" w:sz="1"/>
              <w:right w:val="single" w:color="CCCCCC" w:sz="1"/>
            </w:tcBorders>
            <w:shd w:fill="EAFAF1" w:val="clear"/>
            <w:tcMar>
              <w:top w:type="dxa" w:w="100"/>
              <w:left w:type="dxa" w:w="80"/>
              <w:bottom w:type="dxa" w:w="100"/>
              <w:right w:type="dxa" w:w="80"/>
            </w:tcMar>
            <w:vAlign w:val="center"/>
          </w:tcPr>
          <w:p>
            <w:pPr>
              <w:jc w:val="center"/>
            </w:pPr>
            <w:r>
              <w:rPr>
                <w:rFonts w:ascii="Arial" w:cs="Arial" w:eastAsia="Arial" w:hAnsi="Arial"/>
                <w:b/>
                <w:bCs/>
                <w:color w:val="1E8449"/>
                <w:sz w:val="16"/>
                <w:szCs w:val="16"/>
              </w:rPr>
              <w:t xml:space="preserve">Low</w:t>
            </w:r>
          </w:p>
        </w:tc>
      </w:tr>
    </w:tbl>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C1" w:sz="4"/>
              <w:left w:val="none" w:color="FFFFFF" w:sz="0"/>
              <w:bottom w:val="none" w:color="FFFFFF" w:sz="0"/>
              <w:right w:val="none" w:color="FFFFFF" w:sz="0"/>
            </w:tcBorders>
            <w:tcMar>
              <w:top w:type="dxa" w:w="200"/>
              <w:left w:type="dxa" w:w="200"/>
              <w:bottom w:type="dxa" w:w="200"/>
              <w:right w:type="dxa" w:w="200"/>
            </w:tcMar>
          </w:tcPr>
          <w:p>
            <w:pPr>
              <w:jc w:val="center"/>
            </w:pPr>
            <w:r>
              <w:rPr>
                <w:rFonts w:ascii="Arial" w:cs="Arial" w:eastAsia="Arial" w:hAnsi="Arial"/>
                <w:i/>
                <w:iCs/>
                <w:color w:val="888888"/>
                <w:sz w:val="18"/>
                <w:szCs w:val="18"/>
              </w:rPr>
              <w:t xml:space="preserve">This report is confidential and intended for internal use only.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100"/>
      <w:jc w:val="center"/>
    </w:pPr>
    <w:r>
      <w:rPr>
        <w:rFonts w:ascii="Arial" w:cs="Arial" w:eastAsia="Arial" w:hAnsi="Arial"/>
        <w:color w:val="888888"/>
        <w:sz w:val="18"/>
        <w:szCs w:val="18"/>
      </w:rPr>
      <w:t xml:space="preserve">Confidential  |  Page </w:t>
    </w:r>
    <w:r>
      <w:rPr>
        <w:rFonts w:ascii="Arial" w:cs="Arial" w:eastAsia="Arial" w:hAnsi="Arial"/>
        <w:color w:val="888888"/>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spacing w:after="100"/>
      <w:jc w:val="right"/>
    </w:pPr>
    <w:r>
      <w:rPr>
        <w:rFonts w:ascii="Arial" w:cs="Arial" w:eastAsia="Arial" w:hAnsi="Arial"/>
        <w:color w:val="888888"/>
        <w:sz w:val="18"/>
        <w:szCs w:val="18"/>
      </w:rPr>
      <w:t xml:space="preserve">Business Insights Report  |  2024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4E8C"/>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2026-05-14T21:15:11.616Z</dcterms:created>
  <dcterms:modified xsi:type="dcterms:W3CDTF">2026-05-14T21:15:11.617Z</dcterms:modified>
</cp:coreProperties>
</file>

<file path=docProps/custom.xml><?xml version="1.0" encoding="utf-8"?>
<Properties xmlns="http://schemas.openxmlformats.org/officeDocument/2006/custom-properties" xmlns:vt="http://schemas.openxmlformats.org/officeDocument/2006/docPropsVTypes"/>
</file>