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97D"/>
          <w:sz w:val="56"/>
        </w:rPr>
        <w:t>MOMO FEVER</w:t>
      </w:r>
    </w:p>
    <w:p>
      <w:pPr>
        <w:jc w:val="center"/>
      </w:pPr>
      <w:r>
        <w:rPr>
          <w:b/>
          <w:color w:val="2E74B5"/>
          <w:sz w:val="36"/>
        </w:rPr>
        <w:t>Business Case for Commercialisation</w:t>
      </w:r>
    </w:p>
    <w:p/>
    <w:p/>
    <w:p>
      <w:pPr>
        <w:jc w:val="center"/>
      </w:pPr>
      <w:r>
        <w:t>A Nepali Street Food Restaurant Simulation Game</w:t>
        <w:br/>
        <w:t>Browser-Based | HTML5 + Vanilla JavaScript | Freemium Model</w:t>
      </w:r>
    </w:p>
    <w:p/>
    <w:p>
      <w:pPr>
        <w:jc w:val="center"/>
      </w:pPr>
      <w:r>
        <w:t>Prepared by: Smarika</w:t>
        <w:br/>
        <w:t>Date: June 2026</w:t>
      </w:r>
    </w:p>
    <w:p>
      <w:r>
        <w:br w:type="page"/>
      </w:r>
    </w:p>
    <w:p>
      <w:pPr>
        <w:pStyle w:val="Heading1"/>
      </w:pPr>
      <w:r>
        <w:rPr>
          <w:color w:val="1F497D"/>
        </w:rPr>
        <w:t>Executive Summary</w:t>
      </w:r>
    </w:p>
    <w:p>
      <w:r>
        <w:t>Momo Fever is a browser-based restaurant simulation game centred on the Nepali street food experience. Developed across six structured sprints as a fully functional interactive product, the game immerses players in the role of a momo stall operator — managing cooking stations, plating dishes, and serving an ever-growing queue of customers under real-time pressure. Built on HTML5 with vanilla JavaScript and requiring no installation, Momo Fever is uniquely accessible across all modern devices without platform gatekeeping.</w:t>
      </w:r>
    </w:p>
    <w:p>
      <w:r>
        <w:t>This business case presents a commercially viable monetisation strategy for Momo Fever targeting the global casual gaming market, estimated at USD 14.5 billion in 2024 (Statista, 2024). The core revenue model is freemium, supplemented by in-app purchases (IAPs), rewarded advertising, and cultural licensing. With negligible marginal distribution cost — browser-native delivery via a static CDN — and a culturally differentiated product in an undercrowded niche, the commercial opportunity is compelling.</w:t>
      </w:r>
    </w:p>
    <w:p>
      <w:r>
        <w:t>Initial launch costs are estimated at NZD 7,693, covering platform publishing, sound design, mobile optimisation, and a six-month social media campaign. The business is projected to recover this investment within 19 months. Revenue projections indicate NZD 10,350 in Year 1, escalating to NZD 240,000 by Year 3, driven by user growth from 5,000 to 80,000 monthly active users (MAU), improved IAP conversion, and a planned cultural licensing stream.</w:t>
      </w:r>
    </w:p>
    <w:p>
      <w:r>
        <w:t>Critical analysis using the Lean Business Canvas and Porter's Five Forces confirms that Momo Fever occupies a defensible first-mover position in the Nepali cultural gaming niche, with identifiable risks that are manageable through the mitigation strategies detailed herein. The game's architectural quality — fully data-driven, modular, and extensible — underpins long-term content scalability and positions it credibly for Year 2 mobile app distribution.</w:t>
      </w:r>
    </w:p>
    <w:p>
      <w:pPr>
        <w:pStyle w:val="Heading1"/>
      </w:pPr>
      <w:r>
        <w:rPr>
          <w:color w:val="1F497D"/>
        </w:rPr>
        <w:t>Keywords</w:t>
      </w:r>
    </w:p>
    <w:p>
      <w:r>
        <w:t>Browser Game · Freemium · In-App Purchases (IAP) · Monetisation Strategy · Casual Gaming · Nepali Culture · Cultural Representation · Revenue Model · Progressive Web App (PWA) · Rewarded Advertising · In-Level Economy · Gamification · First-Mover Advantage · ARPU · DAU/MAU Ratio</w:t>
      </w:r>
    </w:p>
    <w:p>
      <w:r>
        <w:br w:type="page"/>
      </w:r>
    </w:p>
    <w:p>
      <w:pPr>
        <w:pStyle w:val="Heading1"/>
      </w:pPr>
      <w:r>
        <w:rPr>
          <w:color w:val="1F497D"/>
        </w:rPr>
        <w:t>Table of Contents</w:t>
      </w:r>
    </w:p>
    <w:p>
      <w:pPr>
        <w:spacing w:after="40"/>
      </w:pPr>
      <w:r>
        <w:t>1.  Executive Summary</w:t>
      </w:r>
      <w:r>
        <w:t xml:space="preserve"> ....................................... 2</w:t>
      </w:r>
    </w:p>
    <w:p>
      <w:pPr>
        <w:spacing w:after="40"/>
      </w:pPr>
      <w:r>
        <w:t>2.  Keywords</w:t>
      </w:r>
      <w:r>
        <w:t xml:space="preserve"> ................................................ 2</w:t>
      </w:r>
    </w:p>
    <w:p>
      <w:pPr>
        <w:spacing w:after="40"/>
      </w:pPr>
      <w:r>
        <w:t>3.  Table of Contents</w:t>
      </w:r>
      <w:r>
        <w:t xml:space="preserve"> ....................................... 3</w:t>
      </w:r>
    </w:p>
    <w:p>
      <w:pPr>
        <w:spacing w:after="40"/>
      </w:pPr>
      <w:r>
        <w:t>4.  Table of Figures</w:t>
      </w:r>
      <w:r>
        <w:t xml:space="preserve"> ........................................ 3</w:t>
      </w:r>
    </w:p>
    <w:p>
      <w:pPr>
        <w:spacing w:after="40"/>
      </w:pPr>
      <w:r>
        <w:t>5.  Introduction</w:t>
      </w:r>
      <w:r>
        <w:t xml:space="preserve"> ............................................ 4</w:t>
      </w:r>
    </w:p>
    <w:p>
      <w:pPr>
        <w:spacing w:after="40"/>
      </w:pPr>
      <w:r>
        <w:t>6.  Motivation</w:t>
      </w:r>
      <w:r>
        <w:t xml:space="preserve"> .............................................. 4</w:t>
      </w:r>
    </w:p>
    <w:p>
      <w:pPr>
        <w:spacing w:after="40"/>
      </w:pPr>
      <w:r>
        <w:t>7.  Aim and Objectives</w:t>
      </w:r>
      <w:r>
        <w:t xml:space="preserve"> ...................................... 5</w:t>
      </w:r>
    </w:p>
    <w:p>
      <w:pPr>
        <w:spacing w:after="40"/>
      </w:pPr>
      <w:r>
        <w:t>8.  The Product</w:t>
      </w:r>
      <w:r>
        <w:t xml:space="preserve"> ............................................. 5</w:t>
      </w:r>
    </w:p>
    <w:p>
      <w:pPr>
        <w:spacing w:after="40"/>
      </w:pPr>
      <w:r>
        <w:t>9.  Business Model and Monetisation</w:t>
      </w:r>
      <w:r>
        <w:t xml:space="preserve"> ......................... 7</w:t>
      </w:r>
    </w:p>
    <w:p>
      <w:pPr>
        <w:spacing w:after="40"/>
      </w:pPr>
      <w:r>
        <w:t>10.  Target Market and Demographics</w:t>
      </w:r>
      <w:r>
        <w:t xml:space="preserve"> ......................... 8</w:t>
      </w:r>
    </w:p>
    <w:p>
      <w:pPr>
        <w:spacing w:after="40"/>
      </w:pPr>
      <w:r>
        <w:t>11.  Marketing Strategy</w:t>
      </w:r>
      <w:r>
        <w:t xml:space="preserve"> ..................................... 9</w:t>
      </w:r>
    </w:p>
    <w:p>
      <w:pPr>
        <w:spacing w:after="40"/>
      </w:pPr>
      <w:r>
        <w:t>12.  Launch Cost Breakdown</w:t>
      </w:r>
      <w:r>
        <w:t xml:space="preserve"> .................................. 10</w:t>
      </w:r>
    </w:p>
    <w:p>
      <w:pPr>
        <w:spacing w:after="40"/>
      </w:pPr>
      <w:r>
        <w:t>13.  Revenue Projection and Breakeven</w:t>
      </w:r>
      <w:r>
        <w:t xml:space="preserve"> ....................... 11</w:t>
      </w:r>
    </w:p>
    <w:p>
      <w:pPr>
        <w:spacing w:after="40"/>
      </w:pPr>
      <w:r>
        <w:t>14.  Risks and Ethics</w:t>
      </w:r>
      <w:r>
        <w:t xml:space="preserve"> ....................................... 12</w:t>
      </w:r>
    </w:p>
    <w:p>
      <w:pPr>
        <w:spacing w:after="40"/>
      </w:pPr>
      <w:r>
        <w:t>15.  Division of Work</w:t>
      </w:r>
      <w:r>
        <w:t xml:space="preserve"> ....................................... 13</w:t>
      </w:r>
    </w:p>
    <w:p>
      <w:pPr>
        <w:spacing w:after="40"/>
      </w:pPr>
      <w:r>
        <w:t>16.  Project Plan</w:t>
      </w:r>
      <w:r>
        <w:t xml:space="preserve"> ........................................... 14</w:t>
      </w:r>
    </w:p>
    <w:p>
      <w:pPr>
        <w:spacing w:after="40"/>
      </w:pPr>
      <w:r>
        <w:t>17.  Conclusion</w:t>
      </w:r>
      <w:r>
        <w:t xml:space="preserve"> ............................................. 15</w:t>
      </w:r>
    </w:p>
    <w:p>
      <w:pPr>
        <w:spacing w:after="40"/>
      </w:pPr>
      <w:r>
        <w:t>18.  References</w:t>
      </w:r>
      <w:r>
        <w:t xml:space="preserve"> ............................................. 16</w:t>
      </w:r>
    </w:p>
    <w:p>
      <w:pPr>
        <w:pStyle w:val="Heading1"/>
      </w:pPr>
      <w:r>
        <w:rPr>
          <w:color w:val="1F497D"/>
        </w:rPr>
        <w:t>Table of Figures</w:t>
      </w:r>
    </w:p>
    <w:p>
      <w:pPr>
        <w:spacing w:after="40"/>
      </w:pPr>
      <w:r>
        <w:t xml:space="preserve">Figure 1: Momo Fever core gameplay loop diagram </w:t>
      </w:r>
      <w:r>
        <w:t>............ 6</w:t>
      </w:r>
    </w:p>
    <w:p>
      <w:pPr>
        <w:spacing w:after="40"/>
      </w:pPr>
      <w:r>
        <w:t xml:space="preserve">Figure 2: Freemium revenue stream overview </w:t>
      </w:r>
      <w:r>
        <w:t>................. 7</w:t>
      </w:r>
    </w:p>
    <w:p>
      <w:pPr>
        <w:spacing w:after="40"/>
      </w:pPr>
      <w:r>
        <w:t xml:space="preserve">Figure 3: TAM / SAM / SOM market sizing </w:t>
      </w:r>
      <w:r>
        <w:t>.................... 9</w:t>
      </w:r>
    </w:p>
    <w:p>
      <w:pPr>
        <w:spacing w:after="40"/>
      </w:pPr>
      <w:r>
        <w:t xml:space="preserve">Figure 4: Three-year revenue projection chart </w:t>
      </w:r>
      <w:r>
        <w:t>.............. 11</w:t>
      </w:r>
    </w:p>
    <w:p>
      <w:pPr>
        <w:spacing w:after="40"/>
      </w:pPr>
      <w:r>
        <w:t xml:space="preserve">Figure 5: Breakeven analysis summary </w:t>
      </w:r>
      <w:r>
        <w:t>....................... 11</w:t>
      </w:r>
    </w:p>
    <w:p>
      <w:pPr>
        <w:spacing w:after="40"/>
      </w:pPr>
      <w:r>
        <w:t xml:space="preserve">Figure 6: Project plan milestone timeline </w:t>
      </w:r>
      <w:r>
        <w:t>.................. 14</w:t>
      </w:r>
    </w:p>
    <w:p>
      <w:r>
        <w:br w:type="page"/>
      </w:r>
    </w:p>
    <w:p>
      <w:pPr>
        <w:pStyle w:val="Heading1"/>
      </w:pPr>
      <w:r>
        <w:rPr>
          <w:color w:val="1F497D"/>
        </w:rPr>
        <w:t>Introduction</w:t>
      </w:r>
    </w:p>
    <w:p>
      <w:r>
        <w:t>The global gaming industry generated over USD 184 billion in revenue in 2023, with mobile and browser-based casual games representing one of its fastest-growing segments (Newzoo, 2024). Unlike console or PC gaming — which requires dedicated hardware investment — browser-based casual games have dramatically lowered the barrier to entry for both players and developers alike. This democratisation has created fertile ground for culturally specific, narrative-rich games that would previously have struggled to reach distribution.</w:t>
      </w:r>
    </w:p>
    <w:p>
      <w:r>
        <w:t>Momo Fever occupies a distinctive position within this landscape: a casual restaurant-management game grounded in authentic Nepali street food culture. The game combines time-management mechanics popularised by titles such as Diner Dash and Overcooked with a culturally rich setting that is significantly under-represented in mainstream gaming. Players manage a momo stall — dragging raw ingredients to cooking stations, plating dishes with custom toppings, and racing against customer patience timers — across three progressively challenging levels with an embedded gamification economy of combos, mood meters, and purchasable boosters.</w:t>
      </w:r>
    </w:p>
    <w:p>
      <w:r>
        <w:t>This business case evaluates the commercial viability of Momo Fever as a revenue-generating product. It covers the product landscape, target demographics, monetisation model, financial projections, marketing strategy, and risk assessment. The analysis draws on casual gaming industry benchmarks and recognised business frameworks including Porter's Five Forces and the Lean Business Canvas to ensure theoretical rigour alongside practical application. All financial figures are presented in New Zealand Dollars (NZD) unless otherwise stated.</w:t>
      </w:r>
    </w:p>
    <w:p>
      <w:pPr>
        <w:pStyle w:val="Heading1"/>
      </w:pPr>
      <w:r>
        <w:rPr>
          <w:color w:val="1F497D"/>
        </w:rPr>
        <w:t>Motivation</w:t>
      </w:r>
    </w:p>
    <w:p>
      <w:r>
        <w:t>The motivation for commercialising Momo Fever stems from three converging observations that collectively identify a viable, under-served market opportunity.</w:t>
      </w:r>
    </w:p>
    <w:p>
      <w:pPr>
        <w:pStyle w:val="Heading2"/>
      </w:pPr>
      <w:r>
        <w:rPr>
          <w:color w:val="2E74B5"/>
        </w:rPr>
        <w:t>6.1  Market Gap in Cultural Representation</w:t>
      </w:r>
    </w:p>
    <w:p>
      <w:r>
        <w:t>Despite the global Nepali diaspora exceeding 2 million people (Ministry of Foreign Affairs Nepal, 2023), there are virtually no commercially distributed games that authentically represent Nepali culture, cuisine, or daily life. Kim and Park (2022) document strong affinity-driven spending behaviour within diaspora communities — consumers are demonstrably willing to pay premium prices for products that authentically reflect their cultural heritage. This represents an addressable audience with high purchase intent and powerful organic sharing behaviour that constitutes essentially free distribution within tight-knit community networks.</w:t>
      </w:r>
    </w:p>
    <w:p>
      <w:pPr>
        <w:pStyle w:val="Heading2"/>
      </w:pPr>
      <w:r>
        <w:rPr>
          <w:color w:val="2E74B5"/>
        </w:rPr>
        <w:t>6.2  Casual Gaming Growth Trajectory</w:t>
      </w:r>
    </w:p>
    <w:p>
      <w:r>
        <w:t>The casual games market is projected to reach USD 23.5 billion by 2028 (Grand View Research, 2024), with browser-based and Progressive Web App (PWA) delivery becoming increasingly viable alternatives to native app distribution. Momo Fever's architecture — requiring no installation and running in any modern browser — positions it optimally for this shift. Browser delivery eliminates platform gatekeeping: unlike native apps, Momo Fever bypasses the 30% revenue cut imposed by the Apple App Store and Google Play Store on primary distribution, materially improving margin from day one.</w:t>
      </w:r>
    </w:p>
    <w:p>
      <w:pPr>
        <w:pStyle w:val="Heading2"/>
      </w:pPr>
      <w:r>
        <w:rPr>
          <w:color w:val="2E74B5"/>
        </w:rPr>
        <w:t>6.3  In-Game Economy Already Structurally Embedded</w:t>
      </w:r>
    </w:p>
    <w:p>
      <w:r>
        <w:t>Critically, Momo Fever's existing mechanics already include a functioning in-game economy: players earn Nepali Rupees, spend them on consumable boosters (Speed Boost at Rs. 150, Calm Crowd at Rs. 150, Quick Plate at Rs. 100), and invest in permanent upgrades between levels. This is not retrofitted monetisation — it is structural to the gameplay. Hamari et al. (2020) confirm that IAP conversion rates are significantly higher when real-money purchases mirror gameplay-native actions. Players who have already internalised the value of spending in-game currency for a Speed Boost are pre-conditioned to perceive real-money booster packs as a natural extension of the experience rather than an imposition.</w:t>
      </w:r>
    </w:p>
    <w:p>
      <w:r>
        <w:br w:type="page"/>
      </w:r>
    </w:p>
    <w:p>
      <w:pPr>
        <w:pStyle w:val="Heading1"/>
      </w:pPr>
      <w:r>
        <w:rPr>
          <w:color w:val="1F497D"/>
        </w:rPr>
        <w:t>Aim and Objectives</w:t>
      </w:r>
    </w:p>
    <w:p>
      <w:pPr>
        <w:pStyle w:val="Heading2"/>
      </w:pPr>
      <w:r>
        <w:rPr>
          <w:color w:val="2E74B5"/>
        </w:rPr>
        <w:t>7.1  Aim</w:t>
      </w:r>
    </w:p>
    <w:p>
      <w:r>
        <w:t>To commercialise Momo Fever as a sustainable browser-based casual game by implementing a freemium revenue model that generates at least NZD 100,000 in annual revenue within three years of public launch, while maintaining cultural authenticity and ethical monetisation practices.</w:t>
      </w:r>
    </w:p>
    <w:p>
      <w:pPr>
        <w:pStyle w:val="Heading2"/>
      </w:pPr>
      <w:r>
        <w:rPr>
          <w:color w:val="2E74B5"/>
        </w:rPr>
        <w:t>7.2  Objectives</w:t>
      </w:r>
    </w:p>
    <w:p>
      <w:pPr>
        <w:pStyle w:val="ListBullet"/>
        <w:ind w:left="360"/>
      </w:pPr>
      <w:r>
        <w:rPr>
          <w:b/>
        </w:rPr>
        <w:t xml:space="preserve">Launch: </w:t>
      </w:r>
      <w:r>
        <w:t>a polished public version within six months of business case approval, incorporating full sound design, mobile-responsive layout, and a Progressive Web App shell enabling home-screen installation.</w:t>
      </w:r>
    </w:p>
    <w:p>
      <w:pPr>
        <w:pStyle w:val="ListBullet"/>
        <w:ind w:left="360"/>
      </w:pPr>
      <w:r>
        <w:rPr>
          <w:b/>
        </w:rPr>
        <w:t xml:space="preserve">Acquire: </w:t>
      </w:r>
      <w:r>
        <w:t>10,000 monthly active users (MAU) within 12 months of launch through a combination of targeted social media marketing, cultural community outreach, and browser game directory listings.</w:t>
      </w:r>
    </w:p>
    <w:p>
      <w:pPr>
        <w:pStyle w:val="ListBullet"/>
        <w:ind w:left="360"/>
      </w:pPr>
      <w:r>
        <w:rPr>
          <w:b/>
        </w:rPr>
        <w:t xml:space="preserve">Monetise: </w:t>
      </w:r>
      <w:r>
        <w:t>through three complementary revenue streams — rewarded advertising, in-app purchases, and cultural licensing — achieving a blended average revenue per user (ARPU) of NZD 0.50/month by end of Year 1.</w:t>
      </w:r>
    </w:p>
    <w:p>
      <w:pPr>
        <w:pStyle w:val="ListBullet"/>
        <w:ind w:left="360"/>
      </w:pPr>
      <w:r>
        <w:rPr>
          <w:b/>
        </w:rPr>
        <w:t xml:space="preserve">Retain: </w:t>
      </w:r>
      <w:r>
        <w:t>players through a bi-monthly content pipeline: new levels, seasonal events (Dashain Rush, Tihar Festival), and rotating cosmetic items to sustain a Day-7 retention rate above 18%.</w:t>
      </w:r>
    </w:p>
    <w:p>
      <w:pPr>
        <w:pStyle w:val="ListBullet"/>
        <w:ind w:left="360"/>
      </w:pPr>
      <w:r>
        <w:rPr>
          <w:b/>
        </w:rPr>
        <w:t xml:space="preserve">Evaluate: </w:t>
      </w:r>
      <w:r>
        <w:t>business performance monthly using KPIs: DAU/MAU ratio (target &gt;20%), IAP conversion rate (target &gt;2%), ad fill rate (target &gt;85%), and ARPU.</w:t>
      </w:r>
    </w:p>
    <w:p>
      <w:pPr>
        <w:pStyle w:val="Heading1"/>
      </w:pPr>
      <w:r>
        <w:rPr>
          <w:color w:val="1F497D"/>
        </w:rPr>
        <w:t>The Product</w:t>
      </w:r>
    </w:p>
    <w:p>
      <w:r>
        <w:t>Momo Fever is a browser-based restaurant tycoon game playable in any modern web browser with no download, installation, or account required. The game simulates the experience of operating a Nepali street food stall, challenging players to cook, plate, and serve dishes accurately and quickly to earn maximum revenue and tips before customers lose patience.</w:t>
      </w:r>
    </w:p>
    <w:p>
      <w:pPr>
        <w:pStyle w:val="Heading2"/>
      </w:pPr>
      <w:r>
        <w:rPr>
          <w:color w:val="2E74B5"/>
        </w:rPr>
        <w:t>8.1  Core Gameplay Loop</w:t>
      </w:r>
    </w:p>
    <w:p>
      <w:r>
        <w:t>Players progress through a structured three-step cycle that forms the backbone of every session:</w:t>
      </w:r>
    </w:p>
    <w:p>
      <w:pPr>
        <w:pStyle w:val="ListBullet"/>
        <w:ind w:left="360"/>
      </w:pPr>
      <w:r>
        <w:rPr>
          <w:b/>
        </w:rPr>
        <w:t xml:space="preserve">Cook: </w:t>
      </w:r>
      <w:r>
        <w:t>Drag raw ingredients (momo, laphing, noodles) from the ingredient hotbar to cooking stations (Steamer, Laphing Tray, Fry Pan), each with distinct cook timers.</w:t>
      </w:r>
    </w:p>
    <w:p>
      <w:pPr>
        <w:pStyle w:val="ListBullet"/>
        <w:ind w:left="360"/>
      </w:pPr>
      <w:r>
        <w:rPr>
          <w:b/>
        </w:rPr>
        <w:t xml:space="preserve">Plate: </w:t>
      </w:r>
      <w:r>
        <w:t>When cooked, drag items to the plating counter to open a mini-game popup where toppings are selected against the customer's order — time slows to 35% speed during this step to keep it fair without removing pressure.</w:t>
      </w:r>
    </w:p>
    <w:p>
      <w:pPr>
        <w:pStyle w:val="ListBullet"/>
        <w:ind w:left="360"/>
      </w:pPr>
      <w:r>
        <w:rPr>
          <w:b/>
        </w:rPr>
        <w:t xml:space="preserve">Serve: </w:t>
      </w:r>
      <w:r>
        <w:t>Drag the completed plated dish to the correct waiting customer before their patience timer expires, earning payment proportional to topping accuracy plus a tip if served perfectly.</w:t>
      </w:r>
    </w:p>
    <w:p>
      <w:r>
        <w:rPr>
          <w:i/>
        </w:rPr>
        <w:t>[Figure 1: Momo Fever core gameplay loop — Cook → Plate → Serve cycle diagram]</w:t>
      </w:r>
    </w:p>
    <w:p>
      <w:pPr>
        <w:pStyle w:val="Heading2"/>
      </w:pPr>
      <w:r>
        <w:rPr>
          <w:color w:val="2E74B5"/>
        </w:rPr>
        <w:t>8.2  Gamification Systems</w:t>
      </w:r>
    </w:p>
    <w:p>
      <w:r>
        <w:t>The game's depth is delivered through four interlocking systems that sit on top of the core loop without altering its fundamental mechanics:</w:t>
      </w:r>
    </w:p>
    <w:p>
      <w:pPr>
        <w:pStyle w:val="ListBullet"/>
        <w:ind w:left="360"/>
      </w:pPr>
      <w:r>
        <w:rPr>
          <w:b/>
        </w:rPr>
        <w:t xml:space="preserve">Combo System: </w:t>
      </w:r>
      <w:r>
        <w:t>Consecutive perfect serves build a score multiplier (×1.5 at 5, ×2.0 at 10, ×3.0 at 15), displayed in the HUD with escalating CSS glow animations. Any failed or partial serve resets the streak, rewarding sustained skill.</w:t>
      </w:r>
    </w:p>
    <w:p>
      <w:pPr>
        <w:pStyle w:val="ListBullet"/>
        <w:ind w:left="360"/>
      </w:pPr>
      <w:r>
        <w:rPr>
          <w:b/>
        </w:rPr>
        <w:t xml:space="preserve">Mood System: </w:t>
      </w:r>
      <w:r>
        <w:t>A global 0–100 mood meter rises on perfect serves and falls on failures. As mood decreases, customer patience drains faster, creating a compounding difficulty spiral. Reaching zero mood ends the level early — mood management is therefore as important as speed.</w:t>
      </w:r>
    </w:p>
    <w:p>
      <w:pPr>
        <w:pStyle w:val="ListBullet"/>
        <w:ind w:left="360"/>
      </w:pPr>
      <w:r>
        <w:rPr>
          <w:b/>
        </w:rPr>
        <w:t xml:space="preserve">Booster Economy: </w:t>
      </w:r>
      <w:r>
        <w:t>Three mid-level consumable boosters are purchasable from real earned in-game currency: Speed Boost (cook times −30%, 15 sec, Rs. 150), Calm Crowd (patience drain −40%, 15 sec, Rs. 150), and Quick Plate (skips plating time-slow for next popup, Rs. 100). Buttons grey out when funds are insufficient.</w:t>
      </w:r>
    </w:p>
    <w:p>
      <w:pPr>
        <w:pStyle w:val="ListBullet"/>
        <w:ind w:left="360"/>
      </w:pPr>
      <w:r>
        <w:rPr>
          <w:b/>
        </w:rPr>
        <w:t xml:space="preserve">Tally Screen and Upgrades: </w:t>
      </w:r>
      <w:r>
        <w:t>Each of the three levels concludes with a star-rated (1–3 stars) summary screen showing revenue, tips, booster expenses, and net total. Permanent upgrades (e.g., Faster Steamer: −20% cook times forever) can be purchased between levels from earned session money.</w:t>
      </w:r>
    </w:p>
    <w:p>
      <w:pPr>
        <w:pStyle w:val="Heading2"/>
      </w:pPr>
      <w:r>
        <w:rPr>
          <w:color w:val="2E74B5"/>
        </w:rPr>
        <w:t>8.3  Technical Profile and Unique Selling Propositions</w:t>
      </w:r>
    </w:p>
    <w:p>
      <w:r>
        <w:t>Built on plain HTML5 and vanilla JavaScript ES6 modules with a single external dependency (interact.js for drag-and-drop), Momo Fever has no framework, no bundler, and no backend. This architectural choice yields significant commercial advantages:</w:t>
      </w:r>
    </w:p>
    <w:p>
      <w:pPr>
        <w:pStyle w:val="ListBullet"/>
        <w:ind w:left="360"/>
      </w:pPr>
      <w:r>
        <w:rPr>
          <w:b/>
        </w:rPr>
        <w:t xml:space="preserve">Negligible infrastructure cost: </w:t>
      </w:r>
      <w:r>
        <w:t>Zero hosting cost at small scale — deployable to GitHub Pages, Netlify, or any static CDN for under NZD 15/month.</w:t>
      </w:r>
    </w:p>
    <w:p>
      <w:pPr>
        <w:pStyle w:val="ListBullet"/>
        <w:ind w:left="360"/>
      </w:pPr>
      <w:r>
        <w:rPr>
          <w:b/>
        </w:rPr>
        <w:t xml:space="preserve">Zero-friction acquisition: </w:t>
      </w:r>
      <w:r>
        <w:t>Players click a link and play instantly. No app store, no account sign-up, no 200 MB download — friction elimination is the single most impactful driver of casual game conversion (Feijoo et al., 2012).</w:t>
      </w:r>
    </w:p>
    <w:p>
      <w:pPr>
        <w:pStyle w:val="ListBullet"/>
        <w:ind w:left="360"/>
      </w:pPr>
      <w:r>
        <w:rPr>
          <w:b/>
        </w:rPr>
        <w:t xml:space="preserve">Progressive Web App ready: </w:t>
      </w:r>
      <w:r>
        <w:t>The game can be published to Google Play and the Apple App Store via a Capacitor or Cordova wrapper with minimal additional development effort, opening native distribution channels in Year 2.</w:t>
      </w:r>
    </w:p>
    <w:p>
      <w:pPr>
        <w:pStyle w:val="ListBullet"/>
        <w:ind w:left="360"/>
      </w:pPr>
      <w:r>
        <w:rPr>
          <w:b/>
        </w:rPr>
        <w:t xml:space="preserve">Cultural uniqueness: </w:t>
      </w:r>
      <w:r>
        <w:t>First culturally authentic Nepali food game in the browser casual market — no direct competitor exists at the time of writing.</w:t>
      </w:r>
    </w:p>
    <w:p>
      <w:pPr>
        <w:pStyle w:val="ListBullet"/>
        <w:ind w:left="360"/>
      </w:pPr>
      <w:r>
        <w:rPr>
          <w:b/>
        </w:rPr>
        <w:t xml:space="preserve">Fully data-driven content pipeline: </w:t>
      </w:r>
      <w:r>
        <w:t>Item registry, topping registry, level configs, and customer types are all data files. New levels, dishes, and customer types require no code changes — only new data entries. This dramatically reduces the cost of ongoing content.</w:t>
      </w:r>
    </w:p>
    <w:p>
      <w:r>
        <w:br w:type="page"/>
      </w:r>
    </w:p>
    <w:p>
      <w:pPr>
        <w:pStyle w:val="Heading1"/>
      </w:pPr>
      <w:r>
        <w:rPr>
          <w:color w:val="1F497D"/>
        </w:rPr>
        <w:t>Business Model and Monetisation</w:t>
      </w:r>
    </w:p>
    <w:p>
      <w:r>
        <w:t>Momo Fever will operate on a freemium model — fully free to play, with optional real-money purchases enhancing the experience without creating pay-to-win dynamics. This model dominates the casual gaming segment (King, 2023; Supersolid, 2022) and is analytically justified by Momo Fever's core player profile: casual players with high price sensitivity who require demonstrated value before spending. The Lean Canvas framework is used to summarise the business model holistically.</w:t>
      </w:r>
    </w:p>
    <w:p>
      <w:pPr>
        <w:pStyle w:val="Heading2"/>
      </w:pPr>
      <w:r>
        <w:rPr>
          <w:color w:val="2E74B5"/>
        </w:rPr>
        <w:t>9.1  Revenue Stream 1 — Rewarded Advertising (Primary, Year 1)</w:t>
      </w:r>
    </w:p>
    <w:p>
      <w:r>
        <w:t>Players voluntarily watch 30-second video ads in exchange for free boosters or a level extension when they are about to fail. This opt-in mechanism — strongly preferred by players over interstitial forced ads (IronSource, 2024) — achieves high fill rates and strong eCPM values while preserving user experience. The game's tally screen, level-end moments, and near-failure states are the natural placement points, mirroring best-practice rewarded ad integration documented by AppsFlyer (2023).</w:t>
      </w:r>
    </w:p>
    <w:p>
      <w:r>
        <w:t>Revenue formula: MAU × 6 ad views/month × NZD 0.020 per view (eCPM NZD 20 ÷ 1,000) = NZD 0.12 ARPU from ads. At 5,000 MAU: NZD 600/month.</w:t>
      </w:r>
    </w:p>
    <w:p>
      <w:pPr>
        <w:pStyle w:val="Heading2"/>
      </w:pPr>
      <w:r>
        <w:rPr>
          <w:color w:val="2E74B5"/>
        </w:rPr>
        <w:t>9.2  Revenue Stream 2 — In-App Purchases (IAP)</w:t>
      </w:r>
    </w:p>
    <w:p>
      <w:r>
        <w:t>Real-money IAPs mirror the existing in-game booster economy, making purchases feel contextually natural rather than interrupting. Four product tiers are proposed, tested against psychological price anchoring theory (Ariely, 2008):</w:t>
      </w:r>
    </w:p>
    <w:tbl>
      <w:tblPr>
        <w:tblStyle w:val="TableGrid"/>
        <w:tblW w:type="auto" w:w="0"/>
        <w:tblLook w:firstColumn="1" w:firstRow="1" w:lastColumn="0" w:lastRow="0" w:noHBand="0" w:noVBand="1" w:val="04A0"/>
      </w:tblPr>
      <w:tblGrid>
        <w:gridCol w:w="2882"/>
        <w:gridCol w:w="2882"/>
        <w:gridCol w:w="2882"/>
      </w:tblGrid>
      <w:tr>
        <w:trPr>
          <w:trHeight w:val="454"/>
        </w:trPr>
        <w:tc>
          <w:tcPr>
            <w:tcW w:type="dxa" w:w="3402"/>
          </w:tcPr>
          <w:p>
            <w:pPr>
              <w:shd w:val="clear" w:color="auto" w:fill="1F497D"/>
              <w:jc w:val="center"/>
            </w:pPr>
            <w:r>
              <w:rPr>
                <w:b/>
                <w:color w:val="FFFFFF"/>
              </w:rPr>
              <w:t>IAP Item</w:t>
            </w:r>
          </w:p>
        </w:tc>
        <w:tc>
          <w:tcPr>
            <w:tcW w:type="dxa" w:w="2268"/>
          </w:tcPr>
          <w:p>
            <w:pPr>
              <w:shd w:val="clear" w:color="auto" w:fill="1F497D"/>
              <w:jc w:val="center"/>
            </w:pPr>
            <w:r>
              <w:rPr>
                <w:b/>
                <w:color w:val="FFFFFF"/>
              </w:rPr>
              <w:t>Price (NZD)</w:t>
            </w:r>
          </w:p>
        </w:tc>
        <w:tc>
          <w:tcPr>
            <w:tcW w:type="dxa" w:w="5102"/>
          </w:tcPr>
          <w:p>
            <w:pPr>
              <w:shd w:val="clear" w:color="auto" w:fill="1F497D"/>
              <w:jc w:val="center"/>
            </w:pPr>
            <w:r>
              <w:rPr>
                <w:b/>
                <w:color w:val="FFFFFF"/>
              </w:rPr>
              <w:t>Description</w:t>
            </w:r>
          </w:p>
        </w:tc>
      </w:tr>
      <w:tr>
        <w:tc>
          <w:tcPr>
            <w:tcW w:type="dxa" w:w="3402"/>
          </w:tcPr>
          <w:p>
            <w:r>
              <w:t>Booster Pack (5×)</w:t>
            </w:r>
          </w:p>
        </w:tc>
        <w:tc>
          <w:tcPr>
            <w:tcW w:type="dxa" w:w="2268"/>
          </w:tcPr>
          <w:p>
            <w:r>
              <w:t>$1.99</w:t>
            </w:r>
          </w:p>
        </w:tc>
        <w:tc>
          <w:tcPr>
            <w:tcW w:type="dxa" w:w="5102"/>
          </w:tcPr>
          <w:p>
            <w:r>
              <w:t>5× Speed Boosts + 5× Calm Crowds</w:t>
            </w:r>
          </w:p>
        </w:tc>
      </w:tr>
      <w:tr>
        <w:tc>
          <w:tcPr>
            <w:tcW w:type="dxa" w:w="3402"/>
          </w:tcPr>
          <w:p>
            <w:pPr>
              <w:shd w:val="clear" w:color="auto" w:fill="DCE6F1"/>
            </w:pPr>
            <w:r>
              <w:t>Rupee Bundle (Rs. 1,000)</w:t>
            </w:r>
          </w:p>
        </w:tc>
        <w:tc>
          <w:tcPr>
            <w:tcW w:type="dxa" w:w="2268"/>
          </w:tcPr>
          <w:p>
            <w:pPr>
              <w:shd w:val="clear" w:color="auto" w:fill="DCE6F1"/>
            </w:pPr>
            <w:r>
              <w:t>$2.99</w:t>
            </w:r>
          </w:p>
        </w:tc>
        <w:tc>
          <w:tcPr>
            <w:tcW w:type="dxa" w:w="5102"/>
          </w:tcPr>
          <w:p>
            <w:pPr>
              <w:shd w:val="clear" w:color="auto" w:fill="DCE6F1"/>
            </w:pPr>
            <w:r>
              <w:t>In-game currency for upgrades and boosters</w:t>
            </w:r>
          </w:p>
        </w:tc>
      </w:tr>
      <w:tr>
        <w:tc>
          <w:tcPr>
            <w:tcW w:type="dxa" w:w="3402"/>
          </w:tcPr>
          <w:p>
            <w:r>
              <w:t>Premium Cosmetic Pack</w:t>
            </w:r>
          </w:p>
        </w:tc>
        <w:tc>
          <w:tcPr>
            <w:tcW w:type="dxa" w:w="2268"/>
          </w:tcPr>
          <w:p>
            <w:r>
              <w:t>$4.99</w:t>
            </w:r>
          </w:p>
        </w:tc>
        <w:tc>
          <w:tcPr>
            <w:tcW w:type="dxa" w:w="5102"/>
          </w:tcPr>
          <w:p>
            <w:r>
              <w:t>Stall skin, ingredient skins, customer emotes</w:t>
            </w:r>
          </w:p>
        </w:tc>
      </w:tr>
      <w:tr>
        <w:tc>
          <w:tcPr>
            <w:tcW w:type="dxa" w:w="3402"/>
          </w:tcPr>
          <w:p>
            <w:pPr>
              <w:shd w:val="clear" w:color="auto" w:fill="DCE6F1"/>
            </w:pPr>
            <w:r>
              <w:t>Season Pass (monthly)</w:t>
            </w:r>
          </w:p>
        </w:tc>
        <w:tc>
          <w:tcPr>
            <w:tcW w:type="dxa" w:w="2268"/>
          </w:tcPr>
          <w:p>
            <w:pPr>
              <w:shd w:val="clear" w:color="auto" w:fill="DCE6F1"/>
            </w:pPr>
            <w:r>
              <w:t>$3.99</w:t>
            </w:r>
          </w:p>
        </w:tc>
        <w:tc>
          <w:tcPr>
            <w:tcW w:type="dxa" w:w="5102"/>
          </w:tcPr>
          <w:p>
            <w:pPr>
              <w:shd w:val="clear" w:color="auto" w:fill="DCE6F1"/>
            </w:pPr>
            <w:r>
              <w:t>Unlimited boosters + ad-free + exclusive levels</w:t>
            </w:r>
          </w:p>
        </w:tc>
      </w:tr>
    </w:tbl>
    <w:p/>
    <w:p>
      <w:r>
        <w:t>Target IAP conversion rate: 2% of MAU (industry benchmark for casual games: 1.9–3.2% — Appodeal, 2024). Average revenue per paying user (ARPPU): NZD 3.50/month.</w:t>
      </w:r>
    </w:p>
    <w:p>
      <w:pPr>
        <w:pStyle w:val="Heading2"/>
      </w:pPr>
      <w:r>
        <w:rPr>
          <w:color w:val="2E74B5"/>
        </w:rPr>
        <w:t>9.3  Revenue Stream 3 — Cultural Licensing</w:t>
      </w:r>
    </w:p>
    <w:p>
      <w:r>
        <w:t>Momo Fever's cultural specificity makes it licensable as an interactive exhibit or educational tool. One-time licensing fee of NZD 2,000–5,000 per institutional licence targets: Nepal Tourism Board, New Zealand schools with South Asian multicultural curricula, Nepali community centres in Auckland and Wellington, and diaspora cultural festivals. This stream has zero marginal cost (the product already exists) and high perceived value to cultural organisations.</w:t>
      </w:r>
    </w:p>
    <w:p>
      <w:pPr>
        <w:pStyle w:val="Heading2"/>
      </w:pPr>
      <w:r>
        <w:rPr>
          <w:color w:val="2E74B5"/>
        </w:rPr>
        <w:t>9.4  Revenue Stream 4 — Premium Standalone Version (Year 3)</w:t>
      </w:r>
    </w:p>
    <w:p>
      <w:r>
        <w:t>A downloadable or Steam version with expanded content — 10+ levels, full orchestrated audio, additional customer types (Friend Group, TikTok Reviewer, already documented in TECH_SPEC.md as deferred content) — sold as a one-time purchase at NZD 7.99. This targets gaming enthusiasts who prefer premium to free-with-ads and provides a long-tail revenue stream with minimal additional development cost, since the architecture is already designed for extensibility.</w:t>
      </w:r>
    </w:p>
    <w:p>
      <w:r>
        <w:rPr>
          <w:i/>
        </w:rPr>
        <w:t>[Figure 2: Freemium revenue stream overview — four streams mapped to Year 1–3 timeline]</w:t>
      </w:r>
    </w:p>
    <w:p>
      <w:pPr>
        <w:pStyle w:val="Heading2"/>
      </w:pPr>
      <w:r>
        <w:rPr>
          <w:color w:val="2E74B5"/>
        </w:rPr>
        <w:t>9.5  Lean Business Canvas Summary</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shd w:val="clear" w:color="auto" w:fill="2E74B5"/>
            </w:pPr>
            <w:r>
              <w:rPr>
                <w:b/>
                <w:color w:val="FFFFFF"/>
              </w:rPr>
              <w:t>Problem</w:t>
            </w:r>
          </w:p>
        </w:tc>
        <w:tc>
          <w:tcPr>
            <w:tcW w:type="dxa" w:w="1729"/>
          </w:tcPr>
          <w:p>
            <w:pPr>
              <w:shd w:val="clear" w:color="auto" w:fill="2E74B5"/>
            </w:pPr>
            <w:r>
              <w:rPr>
                <w:b/>
                <w:color w:val="FFFFFF"/>
              </w:rPr>
              <w:t>Solution</w:t>
            </w:r>
          </w:p>
        </w:tc>
        <w:tc>
          <w:tcPr>
            <w:tcW w:type="dxa" w:w="1729"/>
          </w:tcPr>
          <w:p>
            <w:pPr>
              <w:shd w:val="clear" w:color="auto" w:fill="2E74B5"/>
            </w:pPr>
            <w:r>
              <w:rPr>
                <w:b/>
                <w:color w:val="FFFFFF"/>
              </w:rPr>
              <w:t>Unique Value Proposition</w:t>
            </w:r>
          </w:p>
        </w:tc>
        <w:tc>
          <w:tcPr>
            <w:tcW w:type="dxa" w:w="1729"/>
          </w:tcPr>
          <w:p>
            <w:pPr>
              <w:shd w:val="clear" w:color="auto" w:fill="2E74B5"/>
            </w:pPr>
            <w:r>
              <w:rPr>
                <w:b/>
                <w:color w:val="FFFFFF"/>
              </w:rPr>
              <w:t>Channels</w:t>
            </w:r>
          </w:p>
        </w:tc>
        <w:tc>
          <w:tcPr>
            <w:tcW w:type="dxa" w:w="1729"/>
          </w:tcPr>
          <w:p>
            <w:pPr>
              <w:shd w:val="clear" w:color="auto" w:fill="2E74B5"/>
            </w:pPr>
            <w:r>
              <w:rPr>
                <w:b/>
                <w:color w:val="FFFFFF"/>
              </w:rPr>
              <w:t>Revenue Streams</w:t>
            </w:r>
          </w:p>
        </w:tc>
      </w:tr>
      <w:tr>
        <w:tc>
          <w:tcPr>
            <w:tcW w:type="dxa" w:w="1729"/>
          </w:tcPr>
          <w:p>
            <w:r>
              <w:t>No authentic Nepali gaming content. Casual gamers seek culturally novel experiences.</w:t>
            </w:r>
          </w:p>
        </w:tc>
        <w:tc>
          <w:tcPr>
            <w:tcW w:type="dxa" w:w="1729"/>
          </w:tcPr>
          <w:p>
            <w:r>
              <w:t>Browser game: zero friction, authentic cultural content, escalating skill depth.</w:t>
            </w:r>
          </w:p>
        </w:tc>
        <w:tc>
          <w:tcPr>
            <w:tcW w:type="dxa" w:w="1729"/>
          </w:tcPr>
          <w:p>
            <w:r>
              <w:t>First Nepali food game. Cultural pride + real skill expression + zero install.</w:t>
            </w:r>
          </w:p>
        </w:tc>
        <w:tc>
          <w:tcPr>
            <w:tcW w:type="dxa" w:w="1729"/>
          </w:tcPr>
          <w:p>
            <w:r>
              <w:t>TikTok, Instagram, Reddit, Nepali community networks, browser game directories.</w:t>
            </w:r>
          </w:p>
        </w:tc>
        <w:tc>
          <w:tcPr>
            <w:tcW w:type="dxa" w:w="1729"/>
          </w:tcPr>
          <w:p>
            <w:r>
              <w:t>Rewarded ads, IAP booster/cosmetic packs, season pass, cultural licences.</w:t>
            </w:r>
          </w:p>
        </w:tc>
      </w:tr>
      <w:tr>
        <w:tc>
          <w:tcPr>
            <w:tcW w:type="dxa" w:w="1729"/>
          </w:tcPr>
          <w:p>
            <w:pPr>
              <w:shd w:val="clear" w:color="auto" w:fill="2E74B5"/>
            </w:pPr>
            <w:r>
              <w:rPr>
                <w:b/>
                <w:color w:val="FFFFFF"/>
              </w:rPr>
              <w:t>Key Metrics</w:t>
            </w:r>
          </w:p>
        </w:tc>
        <w:tc>
          <w:tcPr>
            <w:tcW w:type="dxa" w:w="1729"/>
          </w:tcPr>
          <w:p>
            <w:pPr>
              <w:shd w:val="clear" w:color="auto" w:fill="2E74B5"/>
            </w:pPr>
            <w:r>
              <w:rPr>
                <w:b/>
                <w:color w:val="FFFFFF"/>
              </w:rPr>
              <w:t>Cost Structure</w:t>
            </w:r>
          </w:p>
        </w:tc>
        <w:tc>
          <w:tcPr>
            <w:tcW w:type="dxa" w:w="1729"/>
          </w:tcPr>
          <w:p>
            <w:pPr>
              <w:shd w:val="clear" w:color="auto" w:fill="2E74B5"/>
            </w:pPr>
            <w:r>
              <w:rPr>
                <w:b/>
                <w:color w:val="FFFFFF"/>
              </w:rPr>
              <w:t>Customer Segments</w:t>
            </w:r>
          </w:p>
        </w:tc>
        <w:tc>
          <w:tcPr>
            <w:tcW w:type="dxa" w:w="1729"/>
          </w:tcPr>
          <w:p>
            <w:pPr>
              <w:shd w:val="clear" w:color="auto" w:fill="2E74B5"/>
            </w:pPr>
            <w:r>
              <w:rPr>
                <w:b/>
                <w:color w:val="FFFFFF"/>
              </w:rPr>
              <w:t>Key Activities</w:t>
            </w:r>
          </w:p>
        </w:tc>
        <w:tc>
          <w:tcPr>
            <w:tcW w:type="dxa" w:w="1729"/>
          </w:tcPr>
          <w:p>
            <w:pPr>
              <w:shd w:val="clear" w:color="auto" w:fill="2E74B5"/>
            </w:pPr>
            <w:r>
              <w:rPr>
                <w:b/>
                <w:color w:val="FFFFFF"/>
              </w:rPr>
              <w:t>Key Resources</w:t>
            </w:r>
          </w:p>
        </w:tc>
      </w:tr>
      <w:tr>
        <w:tc>
          <w:tcPr>
            <w:tcW w:type="dxa" w:w="1729"/>
          </w:tcPr>
          <w:p>
            <w:r>
              <w:t>DAU/MAU, D1/D7/D30 retention, ARPU, IAP conversion, ad fill rate.</w:t>
            </w:r>
          </w:p>
        </w:tc>
        <w:tc>
          <w:tcPr>
            <w:tcW w:type="dxa" w:w="1729"/>
          </w:tcPr>
          <w:p>
            <w:r>
              <w:t>NZD 465/month fixed (hosting, marketing, tools). Launch: NZD 7,693.</w:t>
            </w:r>
          </w:p>
        </w:tc>
        <w:tc>
          <w:tcPr>
            <w:tcW w:type="dxa" w:w="1729"/>
          </w:tcPr>
          <w:p>
            <w:r>
              <w:t>Casual gamers 16–35, Nepali diaspora, educational institutions.</w:t>
            </w:r>
          </w:p>
        </w:tc>
        <w:tc>
          <w:tcPr>
            <w:tcW w:type="dxa" w:w="1729"/>
          </w:tcPr>
          <w:p>
            <w:r>
              <w:t>Content pipeline, community management, A/B testing IAP pricing.</w:t>
            </w:r>
          </w:p>
        </w:tc>
        <w:tc>
          <w:tcPr>
            <w:tcW w:type="dxa" w:w="1729"/>
          </w:tcPr>
          <w:p>
            <w:r>
              <w:t>Codebase (complete), data-driven architecture, cultural IP.</w:t>
            </w:r>
          </w:p>
        </w:tc>
      </w:tr>
    </w:tbl>
    <w:p/>
    <w:p>
      <w:r>
        <w:br w:type="page"/>
      </w:r>
    </w:p>
    <w:p>
      <w:pPr>
        <w:pStyle w:val="Heading1"/>
      </w:pPr>
      <w:r>
        <w:rPr>
          <w:color w:val="1F497D"/>
        </w:rPr>
        <w:t>Target Market and Demographics</w:t>
      </w:r>
    </w:p>
    <w:p>
      <w:r>
        <w:t>A clear market segmentation is essential to focusing acquisition spend and informing product decisions. Three distinct segments are identified, each with different access points, motivations, and monetisation potential.</w:t>
      </w:r>
    </w:p>
    <w:p>
      <w:pPr>
        <w:pStyle w:val="Heading2"/>
      </w:pPr>
      <w:r>
        <w:rPr>
          <w:color w:val="2E74B5"/>
        </w:rPr>
        <w:t>10.1  Primary Market — Casual Gamers (Age 16–35, Global)</w:t>
      </w:r>
    </w:p>
    <w:p>
      <w:r>
        <w:t>The casual gaming audience skews female (54% of players, Statista, 2024) and younger, with high mobile usage and habitual short-session play patterns (5–15 minutes per session). Momo Fever's level structure — each level taking 3–5 minutes — is purpose-built for this behaviour. This segment is driven by three documented discovery factors particularly relevant to Momo Fever: social sharing mechanics, visual food content (food game aesthetics consistently outperform average gaming content on TikTok and Instagram — SocialBlade, 2024), and cultural novelty ('games I haven't seen before' is a primary discovery driver per SuperData Research, 2023). Porter's Five Forces analysis confirms low supplier power (ad networks are commoditised), moderate buyer power (players have many alternatives), but a high competitive advantage from cultural differentiation that no direct competitor currently possesses.</w:t>
      </w:r>
    </w:p>
    <w:p>
      <w:pPr>
        <w:pStyle w:val="Heading2"/>
      </w:pPr>
      <w:r>
        <w:rPr>
          <w:color w:val="2E74B5"/>
        </w:rPr>
        <w:t>10.2  Secondary Market — Nepali Diaspora (Global, ~2 million)</w:t>
      </w:r>
    </w:p>
    <w:p>
      <w:r>
        <w:t>The Nepali diaspora spans Australia, New Zealand, the United Kingdom, the United States, and the Gulf States. Gurung (2021) documents strong pride-based consumption within this community — consumers actively purchase and organically share products that authentically represent Nepali culture. This segment is expected to: play at above-average session frequency due to cultural investment; share at above-average rates within community networks, generating essentially free viral distribution; and convert to IAP at above-average rates, as ARPPU tends to correlate with the host country's purchasing power (NZ, Australia, UK all exceed global IAP averages by 40–60% — Appodeal, 2024).</w:t>
      </w:r>
    </w:p>
    <w:p>
      <w:pPr>
        <w:pStyle w:val="Heading2"/>
      </w:pPr>
      <w:r>
        <w:rPr>
          <w:color w:val="2E74B5"/>
        </w:rPr>
        <w:t>10.3  Tertiary Market — Educational Institutions</w:t>
      </w:r>
    </w:p>
    <w:p>
      <w:r>
        <w:t>New Zealand primary and intermediate schools with multicultural curricula represent a licensing market. The Ministry of Education NZ (2023) explicitly encourages culturally responsive teaching using digital tools. Momo Fever's food naming, topping selection, and stall management provide teachable content around Nepali culture, geography, and food systems at a level appropriate for Year 5–8 classrooms. This segment is accessed through cultural licensing (Section 9.3) rather than consumer acquisition.</w:t>
      </w:r>
    </w:p>
    <w:p>
      <w:pPr>
        <w:pStyle w:val="Heading2"/>
      </w:pPr>
      <w:r>
        <w:rPr>
          <w:color w:val="2E74B5"/>
        </w:rPr>
        <w:t>10.4  Market Sizing (TAM / SAM / SOM)</w:t>
      </w:r>
    </w:p>
    <w:tbl>
      <w:tblPr>
        <w:tblStyle w:val="TableGrid"/>
        <w:tblW w:type="auto" w:w="0"/>
        <w:tblLook w:firstColumn="1" w:firstRow="1" w:lastColumn="0" w:lastRow="0" w:noHBand="0" w:noVBand="1" w:val="04A0"/>
      </w:tblPr>
      <w:tblGrid>
        <w:gridCol w:w="2882"/>
        <w:gridCol w:w="2882"/>
        <w:gridCol w:w="2882"/>
      </w:tblGrid>
      <w:tr>
        <w:trPr>
          <w:trHeight w:val="454"/>
        </w:trPr>
        <w:tc>
          <w:tcPr>
            <w:tcW w:type="dxa" w:w="3118"/>
          </w:tcPr>
          <w:p>
            <w:pPr>
              <w:shd w:val="clear" w:color="auto" w:fill="1F497D"/>
              <w:jc w:val="center"/>
            </w:pPr>
            <w:r>
              <w:rPr>
                <w:b/>
                <w:color w:val="FFFFFF"/>
              </w:rPr>
              <w:t>Market</w:t>
            </w:r>
          </w:p>
        </w:tc>
        <w:tc>
          <w:tcPr>
            <w:tcW w:type="dxa" w:w="2268"/>
          </w:tcPr>
          <w:p>
            <w:pPr>
              <w:shd w:val="clear" w:color="auto" w:fill="1F497D"/>
              <w:jc w:val="center"/>
            </w:pPr>
            <w:r>
              <w:rPr>
                <w:b/>
                <w:color w:val="FFFFFF"/>
              </w:rPr>
              <w:t>Size</w:t>
            </w:r>
          </w:p>
        </w:tc>
        <w:tc>
          <w:tcPr>
            <w:tcW w:type="dxa" w:w="5386"/>
          </w:tcPr>
          <w:p>
            <w:pPr>
              <w:shd w:val="clear" w:color="auto" w:fill="1F497D"/>
              <w:jc w:val="center"/>
            </w:pPr>
            <w:r>
              <w:rPr>
                <w:b/>
                <w:color w:val="FFFFFF"/>
              </w:rPr>
              <w:t>Definition</w:t>
            </w:r>
          </w:p>
        </w:tc>
      </w:tr>
      <w:tr>
        <w:tc>
          <w:tcPr>
            <w:tcW w:type="dxa" w:w="3118"/>
          </w:tcPr>
          <w:p>
            <w:r>
              <w:t>Total Addressable Market (TAM)</w:t>
            </w:r>
          </w:p>
        </w:tc>
        <w:tc>
          <w:tcPr>
            <w:tcW w:type="dxa" w:w="2268"/>
          </w:tcPr>
          <w:p>
            <w:r>
              <w:t>2.8 billion players</w:t>
            </w:r>
          </w:p>
        </w:tc>
        <w:tc>
          <w:tcPr>
            <w:tcW w:type="dxa" w:w="5386"/>
          </w:tcPr>
          <w:p>
            <w:r>
              <w:t>Global casual game players (Newzoo, 2024)</w:t>
            </w:r>
          </w:p>
        </w:tc>
      </w:tr>
      <w:tr>
        <w:tc>
          <w:tcPr>
            <w:tcW w:type="dxa" w:w="3118"/>
          </w:tcPr>
          <w:p>
            <w:pPr>
              <w:shd w:val="clear" w:color="auto" w:fill="DCE6F1"/>
            </w:pPr>
            <w:r>
              <w:t>Serviceable Addressable Market (SAM)</w:t>
            </w:r>
          </w:p>
        </w:tc>
        <w:tc>
          <w:tcPr>
            <w:tcW w:type="dxa" w:w="2268"/>
          </w:tcPr>
          <w:p>
            <w:pPr>
              <w:shd w:val="clear" w:color="auto" w:fill="DCE6F1"/>
            </w:pPr>
            <w:r>
              <w:t>~50 million players</w:t>
            </w:r>
          </w:p>
        </w:tc>
        <w:tc>
          <w:tcPr>
            <w:tcW w:type="dxa" w:w="5386"/>
          </w:tcPr>
          <w:p>
            <w:pPr>
              <w:shd w:val="clear" w:color="auto" w:fill="DCE6F1"/>
            </w:pPr>
            <w:r>
              <w:t>Browser casual + food game niche globally</w:t>
            </w:r>
          </w:p>
        </w:tc>
      </w:tr>
      <w:tr>
        <w:tc>
          <w:tcPr>
            <w:tcW w:type="dxa" w:w="3118"/>
          </w:tcPr>
          <w:p>
            <w:r>
              <w:t>Serviceable Obtainable Market (SOM)</w:t>
            </w:r>
          </w:p>
        </w:tc>
        <w:tc>
          <w:tcPr>
            <w:tcW w:type="dxa" w:w="2268"/>
          </w:tcPr>
          <w:p>
            <w:r>
              <w:t>150,000 MAU</w:t>
            </w:r>
          </w:p>
        </w:tc>
        <w:tc>
          <w:tcPr>
            <w:tcW w:type="dxa" w:w="5386"/>
          </w:tcPr>
          <w:p>
            <w:r>
              <w:t>3-year target — 0.3% of SAM</w:t>
            </w:r>
          </w:p>
        </w:tc>
      </w:tr>
    </w:tbl>
    <w:p/>
    <w:p>
      <w:r>
        <w:rPr>
          <w:i/>
        </w:rPr>
        <w:t>[Figure 3: TAM / SAM / SOM funnel diagram for Momo Fever market sizing]</w:t>
      </w:r>
    </w:p>
    <w:p>
      <w:r>
        <w:br w:type="page"/>
      </w:r>
    </w:p>
    <w:p>
      <w:pPr>
        <w:pStyle w:val="Heading1"/>
      </w:pPr>
      <w:r>
        <w:rPr>
          <w:color w:val="1F497D"/>
        </w:rPr>
        <w:t>Marketing Strategy</w:t>
      </w:r>
    </w:p>
    <w:p>
      <w:r>
        <w:t>Momo Fever's marketing strategy is structured in three phases aligned with the product lifecycle, starting with zero-cost organic channels to validate audience assumptions before committing to paid acquisition — a lean marketing approach consistent with bootstrap-stage digital product best practice (Ries, 2011).</w:t>
      </w:r>
    </w:p>
    <w:p>
      <w:pPr>
        <w:pStyle w:val="Heading2"/>
      </w:pPr>
      <w:r>
        <w:rPr>
          <w:color w:val="2E74B5"/>
        </w:rPr>
        <w:t>11.1  Phase 1 — Pre-Launch (Months 1–3): Build Awareness</w:t>
      </w:r>
    </w:p>
    <w:p>
      <w:pPr>
        <w:pStyle w:val="ListBullet"/>
        <w:ind w:left="360"/>
      </w:pPr>
      <w:r>
        <w:rPr>
          <w:b/>
        </w:rPr>
        <w:t xml:space="preserve">TikTok content series (#momos #nepalifood #restaurantgame): </w:t>
      </w:r>
      <w:r>
        <w:t>3× short-form videos per week showcasing gameplay combos, cultural food facts, and the plating mini-game. Food game content on TikTok consistently achieves 2–5% engagement versus 1.2% for general gaming (SocialBlade, 2024).</w:t>
      </w:r>
    </w:p>
    <w:p>
      <w:pPr>
        <w:pStyle w:val="ListBullet"/>
        <w:ind w:left="360"/>
      </w:pPr>
      <w:r>
        <w:rPr>
          <w:b/>
        </w:rPr>
        <w:t xml:space="preserve">Instagram Reels: </w:t>
      </w:r>
      <w:r>
        <w:t>Behind-the-scenes development content, cultural momo facts, and dish reveal videos — leverages Instagram's strength in food and cultural content discovery.</w:t>
      </w:r>
    </w:p>
    <w:p>
      <w:pPr>
        <w:pStyle w:val="ListBullet"/>
        <w:ind w:left="360"/>
      </w:pPr>
      <w:r>
        <w:rPr>
          <w:b/>
        </w:rPr>
        <w:t xml:space="preserve">Reddit outreach: </w:t>
      </w:r>
      <w:r>
        <w:t>Authentic community engagement in r/indiegames, r/webgames, r/Nepal — Reddit's gaming communities reliably amplify genuine indie projects.</w:t>
      </w:r>
    </w:p>
    <w:p>
      <w:pPr>
        <w:pStyle w:val="ListBullet"/>
        <w:ind w:left="360"/>
      </w:pPr>
      <w:r>
        <w:rPr>
          <w:b/>
        </w:rPr>
        <w:t xml:space="preserve">Nepali university community seeding: </w:t>
      </w:r>
      <w:r>
        <w:t>Direct outreach to Nepali Student Associations at University of Auckland, Victoria University Wellington, University of Canterbury, and Massey University.</w:t>
      </w:r>
    </w:p>
    <w:p>
      <w:pPr>
        <w:pStyle w:val="Heading2"/>
      </w:pPr>
      <w:r>
        <w:rPr>
          <w:color w:val="2E74B5"/>
        </w:rPr>
        <w:t>11.2  Phase 2 — Launch (Month 4–6): Drive Users</w:t>
      </w:r>
    </w:p>
    <w:p>
      <w:pPr>
        <w:pStyle w:val="ListBullet"/>
        <w:ind w:left="360"/>
      </w:pPr>
      <w:r>
        <w:rPr>
          <w:b/>
        </w:rPr>
        <w:t xml:space="preserve">Paid social advertising: </w:t>
      </w:r>
      <w:r>
        <w:t>NZD 1,500 budget across Meta and TikTok: targeting age 18–30, interests including food games, cooking reality TV, South Asian culture.</w:t>
      </w:r>
    </w:p>
    <w:p>
      <w:pPr>
        <w:pStyle w:val="ListBullet"/>
        <w:ind w:left="360"/>
      </w:pPr>
      <w:r>
        <w:rPr>
          <w:b/>
        </w:rPr>
        <w:t xml:space="preserve">Influencer partnerships: </w:t>
      </w:r>
      <w:r>
        <w:t>2–3 Nepali food micro-influencers (10,000–50,000 followers) for authentic gameplay posts at NZD 300–500 per post — micro-influencer content delivers 3–5× higher engagement than macro-influencer equivalents (Influencer Marketing Hub, 2024).</w:t>
      </w:r>
    </w:p>
    <w:p>
      <w:pPr>
        <w:pStyle w:val="ListBullet"/>
        <w:ind w:left="360"/>
      </w:pPr>
      <w:r>
        <w:rPr>
          <w:b/>
        </w:rPr>
        <w:t xml:space="preserve">Browser game directory listings: </w:t>
      </w:r>
      <w:r>
        <w:t>Submission to IndieDB, itch.io, Newgrounds, and Game Jolt browser game directories.</w:t>
      </w:r>
    </w:p>
    <w:p>
      <w:pPr>
        <w:pStyle w:val="ListBullet"/>
        <w:ind w:left="360"/>
      </w:pPr>
      <w:r>
        <w:rPr>
          <w:b/>
        </w:rPr>
        <w:t xml:space="preserve">Product Hunt launch: </w:t>
      </w:r>
      <w:r>
        <w:t>Product Hunt browser game category submission — targets tech-early-adopter demographic with disproportionate social media reach.</w:t>
      </w:r>
    </w:p>
    <w:p>
      <w:pPr>
        <w:pStyle w:val="Heading2"/>
      </w:pPr>
      <w:r>
        <w:rPr>
          <w:color w:val="2E74B5"/>
        </w:rPr>
        <w:t>11.3  Phase 3 — Retention and Virality (Month 7–12)</w:t>
      </w:r>
    </w:p>
    <w:p>
      <w:pPr>
        <w:pStyle w:val="ListBullet"/>
        <w:ind w:left="360"/>
      </w:pPr>
      <w:r>
        <w:rPr>
          <w:b/>
        </w:rPr>
        <w:t xml:space="preserve">Referral mechanic: </w:t>
      </w:r>
      <w:r>
        <w:t>'Share your score to get a free booster' mechanic built into the tally screen — implemented directly in TallyScreen.js via Web Share API.</w:t>
      </w:r>
    </w:p>
    <w:p>
      <w:pPr>
        <w:pStyle w:val="ListBullet"/>
        <w:ind w:left="360"/>
      </w:pPr>
      <w:r>
        <w:rPr>
          <w:b/>
        </w:rPr>
        <w:t xml:space="preserve">Leaderboard and community: </w:t>
      </w:r>
      <w:r>
        <w:t>Weekly high score board with social share functionality; community Discord server launched at Month 6 to build an engaged player base.</w:t>
      </w:r>
    </w:p>
    <w:p>
      <w:pPr>
        <w:pStyle w:val="ListBullet"/>
        <w:ind w:left="360"/>
      </w:pPr>
      <w:r>
        <w:rPr>
          <w:b/>
        </w:rPr>
        <w:t xml:space="preserve">Seasonal events: </w:t>
      </w:r>
      <w:r>
        <w:t>Dashain (October) and Tihar (November) themed limited-time levels to drive lapsed-user re-engagement — seasonal events are the highest-ROI retention mechanic in casual gaming (AppsFlyer, 2023).</w:t>
      </w:r>
    </w:p>
    <w:p>
      <w:pPr>
        <w:pStyle w:val="Heading2"/>
      </w:pPr>
      <w:r>
        <w:rPr>
          <w:color w:val="2E74B5"/>
        </w:rPr>
        <w:t>11.4  Key Performance Indicators</w:t>
      </w:r>
    </w:p>
    <w:tbl>
      <w:tblPr>
        <w:tblStyle w:val="TableGrid"/>
        <w:tblW w:type="auto" w:w="0"/>
        <w:tblLook w:firstColumn="1" w:firstRow="1" w:lastColumn="0" w:lastRow="0" w:noHBand="0" w:noVBand="1" w:val="04A0"/>
      </w:tblPr>
      <w:tblGrid>
        <w:gridCol w:w="2882"/>
        <w:gridCol w:w="2882"/>
        <w:gridCol w:w="2882"/>
      </w:tblGrid>
      <w:tr>
        <w:trPr>
          <w:trHeight w:val="454"/>
        </w:trPr>
        <w:tc>
          <w:tcPr>
            <w:tcW w:type="dxa" w:w="3118"/>
          </w:tcPr>
          <w:p>
            <w:pPr>
              <w:shd w:val="clear" w:color="auto" w:fill="1F497D"/>
              <w:jc w:val="center"/>
            </w:pPr>
            <w:r>
              <w:rPr>
                <w:b/>
                <w:color w:val="FFFFFF"/>
              </w:rPr>
              <w:t>KPI</w:t>
            </w:r>
          </w:p>
        </w:tc>
        <w:tc>
          <w:tcPr>
            <w:tcW w:type="dxa" w:w="1984"/>
          </w:tcPr>
          <w:p>
            <w:pPr>
              <w:shd w:val="clear" w:color="auto" w:fill="1F497D"/>
              <w:jc w:val="center"/>
            </w:pPr>
            <w:r>
              <w:rPr>
                <w:b/>
                <w:color w:val="FFFFFF"/>
              </w:rPr>
              <w:t>Month 12 Target</w:t>
            </w:r>
          </w:p>
        </w:tc>
        <w:tc>
          <w:tcPr>
            <w:tcW w:type="dxa" w:w="5669"/>
          </w:tcPr>
          <w:p>
            <w:pPr>
              <w:shd w:val="clear" w:color="auto" w:fill="1F497D"/>
              <w:jc w:val="center"/>
            </w:pPr>
            <w:r>
              <w:rPr>
                <w:b/>
                <w:color w:val="FFFFFF"/>
              </w:rPr>
              <w:t>Rationale</w:t>
            </w:r>
          </w:p>
        </w:tc>
      </w:tr>
      <w:tr>
        <w:tc>
          <w:tcPr>
            <w:tcW w:type="dxa" w:w="3118"/>
          </w:tcPr>
          <w:p>
            <w:r>
              <w:t>Monthly Active Users (MAU)</w:t>
            </w:r>
          </w:p>
        </w:tc>
        <w:tc>
          <w:tcPr>
            <w:tcW w:type="dxa" w:w="1984"/>
          </w:tcPr>
          <w:p>
            <w:r>
              <w:t>10,000</w:t>
            </w:r>
          </w:p>
        </w:tc>
        <w:tc>
          <w:tcPr>
            <w:tcW w:type="dxa" w:w="5669"/>
          </w:tcPr>
          <w:p>
            <w:r>
              <w:t>Revenue viability threshold</w:t>
            </w:r>
          </w:p>
        </w:tc>
      </w:tr>
      <w:tr>
        <w:tc>
          <w:tcPr>
            <w:tcW w:type="dxa" w:w="3118"/>
          </w:tcPr>
          <w:p>
            <w:pPr>
              <w:shd w:val="clear" w:color="auto" w:fill="DCE6F1"/>
            </w:pPr>
            <w:r>
              <w:t>Day-1 Retention</w:t>
            </w:r>
          </w:p>
        </w:tc>
        <w:tc>
          <w:tcPr>
            <w:tcW w:type="dxa" w:w="1984"/>
          </w:tcPr>
          <w:p>
            <w:pPr>
              <w:shd w:val="clear" w:color="auto" w:fill="DCE6F1"/>
            </w:pPr>
            <w:r>
              <w:t>35%</w:t>
            </w:r>
          </w:p>
        </w:tc>
        <w:tc>
          <w:tcPr>
            <w:tcW w:type="dxa" w:w="5669"/>
          </w:tcPr>
          <w:p>
            <w:pPr>
              <w:shd w:val="clear" w:color="auto" w:fill="DCE6F1"/>
            </w:pPr>
            <w:r>
              <w:t>Industry benchmark: 25–40% for food games</w:t>
            </w:r>
          </w:p>
        </w:tc>
      </w:tr>
      <w:tr>
        <w:tc>
          <w:tcPr>
            <w:tcW w:type="dxa" w:w="3118"/>
          </w:tcPr>
          <w:p>
            <w:r>
              <w:t>Day-7 Retention</w:t>
            </w:r>
          </w:p>
        </w:tc>
        <w:tc>
          <w:tcPr>
            <w:tcW w:type="dxa" w:w="1984"/>
          </w:tcPr>
          <w:p>
            <w:r>
              <w:t>18%</w:t>
            </w:r>
          </w:p>
        </w:tc>
        <w:tc>
          <w:tcPr>
            <w:tcW w:type="dxa" w:w="5669"/>
          </w:tcPr>
          <w:p>
            <w:r>
              <w:t>Strong casual game benchmark</w:t>
            </w:r>
          </w:p>
        </w:tc>
      </w:tr>
      <w:tr>
        <w:tc>
          <w:tcPr>
            <w:tcW w:type="dxa" w:w="3118"/>
          </w:tcPr>
          <w:p>
            <w:pPr>
              <w:shd w:val="clear" w:color="auto" w:fill="DCE6F1"/>
            </w:pPr>
            <w:r>
              <w:t>Session Length (average)</w:t>
            </w:r>
          </w:p>
        </w:tc>
        <w:tc>
          <w:tcPr>
            <w:tcW w:type="dxa" w:w="1984"/>
          </w:tcPr>
          <w:p>
            <w:pPr>
              <w:shd w:val="clear" w:color="auto" w:fill="DCE6F1"/>
            </w:pPr>
            <w:r>
              <w:t>8 minutes</w:t>
            </w:r>
          </w:p>
        </w:tc>
        <w:tc>
          <w:tcPr>
            <w:tcW w:type="dxa" w:w="5669"/>
          </w:tcPr>
          <w:p>
            <w:pPr>
              <w:shd w:val="clear" w:color="auto" w:fill="DCE6F1"/>
            </w:pPr>
            <w:r>
              <w:t>Aligns with level duration</w:t>
            </w:r>
          </w:p>
        </w:tc>
      </w:tr>
      <w:tr>
        <w:tc>
          <w:tcPr>
            <w:tcW w:type="dxa" w:w="3118"/>
          </w:tcPr>
          <w:p>
            <w:r>
              <w:t>IAP Conversion Rate</w:t>
            </w:r>
          </w:p>
        </w:tc>
        <w:tc>
          <w:tcPr>
            <w:tcW w:type="dxa" w:w="1984"/>
          </w:tcPr>
          <w:p>
            <w:r>
              <w:t>2%</w:t>
            </w:r>
          </w:p>
        </w:tc>
        <w:tc>
          <w:tcPr>
            <w:tcW w:type="dxa" w:w="5669"/>
          </w:tcPr>
          <w:p>
            <w:r>
              <w:t>Industry average: 1.9–3.2%</w:t>
            </w:r>
          </w:p>
        </w:tc>
      </w:tr>
      <w:tr>
        <w:tc>
          <w:tcPr>
            <w:tcW w:type="dxa" w:w="3118"/>
          </w:tcPr>
          <w:p>
            <w:pPr>
              <w:shd w:val="clear" w:color="auto" w:fill="DCE6F1"/>
            </w:pPr>
            <w:r>
              <w:t>Social Followers (combined)</w:t>
            </w:r>
          </w:p>
        </w:tc>
        <w:tc>
          <w:tcPr>
            <w:tcW w:type="dxa" w:w="1984"/>
          </w:tcPr>
          <w:p>
            <w:pPr>
              <w:shd w:val="clear" w:color="auto" w:fill="DCE6F1"/>
            </w:pPr>
            <w:r>
              <w:t>5,000</w:t>
            </w:r>
          </w:p>
        </w:tc>
        <w:tc>
          <w:tcPr>
            <w:tcW w:type="dxa" w:w="5669"/>
          </w:tcPr>
          <w:p>
            <w:pPr>
              <w:shd w:val="clear" w:color="auto" w:fill="DCE6F1"/>
            </w:pPr>
            <w:r>
              <w:t>Organic distribution asset</w:t>
            </w:r>
          </w:p>
        </w:tc>
      </w:tr>
    </w:tbl>
    <w:p/>
    <w:p>
      <w:r>
        <w:br w:type="page"/>
      </w:r>
    </w:p>
    <w:p>
      <w:pPr>
        <w:pStyle w:val="Heading1"/>
      </w:pPr>
      <w:r>
        <w:rPr>
          <w:color w:val="1F497D"/>
        </w:rPr>
        <w:t>Launch Cost Breakdown</w:t>
      </w:r>
    </w:p>
    <w:p>
      <w:r>
        <w:t>The following cost breakdown covers all expenditure required to take Momo Fever from its current completed-prototype state to a publicly launched, monetised product. Development costs are not included as the core product is already built (sunk cost). All figures are in NZD.</w:t>
      </w:r>
    </w:p>
    <w:tbl>
      <w:tblPr>
        <w:tblStyle w:val="TableGrid"/>
        <w:tblW w:type="auto" w:w="0"/>
        <w:tblLook w:firstColumn="1" w:firstRow="1" w:lastColumn="0" w:lastRow="0" w:noHBand="0" w:noVBand="1" w:val="04A0"/>
      </w:tblPr>
      <w:tblGrid>
        <w:gridCol w:w="2882"/>
        <w:gridCol w:w="2882"/>
        <w:gridCol w:w="2882"/>
      </w:tblGrid>
      <w:tr>
        <w:trPr>
          <w:trHeight w:val="454"/>
        </w:trPr>
        <w:tc>
          <w:tcPr>
            <w:tcW w:type="dxa" w:w="3969"/>
          </w:tcPr>
          <w:p>
            <w:pPr>
              <w:shd w:val="clear" w:color="auto" w:fill="1F497D"/>
              <w:jc w:val="center"/>
            </w:pPr>
            <w:r>
              <w:rPr>
                <w:b/>
                <w:color w:val="FFFFFF"/>
              </w:rPr>
              <w:t>Item</w:t>
            </w:r>
          </w:p>
        </w:tc>
        <w:tc>
          <w:tcPr>
            <w:tcW w:type="dxa" w:w="1701"/>
          </w:tcPr>
          <w:p>
            <w:pPr>
              <w:shd w:val="clear" w:color="auto" w:fill="1F497D"/>
              <w:jc w:val="center"/>
            </w:pPr>
            <w:r>
              <w:rPr>
                <w:b/>
                <w:color w:val="FFFFFF"/>
              </w:rPr>
              <w:t>Cost (NZD)</w:t>
            </w:r>
          </w:p>
        </w:tc>
        <w:tc>
          <w:tcPr>
            <w:tcW w:type="dxa" w:w="5102"/>
          </w:tcPr>
          <w:p>
            <w:pPr>
              <w:shd w:val="clear" w:color="auto" w:fill="1F497D"/>
              <w:jc w:val="center"/>
            </w:pPr>
            <w:r>
              <w:rPr>
                <w:b/>
                <w:color w:val="FFFFFF"/>
              </w:rPr>
              <w:t>Notes</w:t>
            </w:r>
          </w:p>
        </w:tc>
      </w:tr>
      <w:tr>
        <w:tc>
          <w:tcPr>
            <w:tcW w:type="dxa" w:w="3969"/>
          </w:tcPr>
          <w:p>
            <w:r>
              <w:t>Sound Design (SFX + background music)</w:t>
            </w:r>
          </w:p>
        </w:tc>
        <w:tc>
          <w:tcPr>
            <w:tcW w:type="dxa" w:w="1701"/>
          </w:tcPr>
          <w:p>
            <w:r>
              <w:t>1,500</w:t>
            </w:r>
          </w:p>
        </w:tc>
        <w:tc>
          <w:tcPr>
            <w:tcW w:type="dxa" w:w="5102"/>
          </w:tcPr>
          <w:p>
            <w:r>
              <w:t>Freelance composer/SFX artist; cooking sounds, customer dings, failure buzz, ambient stall music</w:t>
            </w:r>
          </w:p>
        </w:tc>
      </w:tr>
      <w:tr>
        <w:tc>
          <w:tcPr>
            <w:tcW w:type="dxa" w:w="3969"/>
          </w:tcPr>
          <w:p>
            <w:pPr>
              <w:shd w:val="clear" w:color="auto" w:fill="DCE6F1"/>
            </w:pPr>
            <w:r>
              <w:t>Graphic Design (logo, UI polish, app icon, store assets)</w:t>
            </w:r>
          </w:p>
        </w:tc>
        <w:tc>
          <w:tcPr>
            <w:tcW w:type="dxa" w:w="1701"/>
          </w:tcPr>
          <w:p>
            <w:pPr>
              <w:shd w:val="clear" w:color="auto" w:fill="DCE6F1"/>
            </w:pPr>
            <w:r>
              <w:t>800</w:t>
            </w:r>
          </w:p>
        </w:tc>
        <w:tc>
          <w:tcPr>
            <w:tcW w:type="dxa" w:w="5102"/>
          </w:tcPr>
          <w:p>
            <w:pPr>
              <w:shd w:val="clear" w:color="auto" w:fill="DCE6F1"/>
            </w:pPr>
            <w:r>
              <w:t>App icon, social banner templates, loading screen illustration</w:t>
            </w:r>
          </w:p>
        </w:tc>
      </w:tr>
      <w:tr>
        <w:tc>
          <w:tcPr>
            <w:tcW w:type="dxa" w:w="3969"/>
          </w:tcPr>
          <w:p>
            <w:r>
              <w:t>Mobile Optimisation (responsive layout + PWA shell)</w:t>
            </w:r>
          </w:p>
        </w:tc>
        <w:tc>
          <w:tcPr>
            <w:tcW w:type="dxa" w:w="1701"/>
          </w:tcPr>
          <w:p>
            <w:r>
              <w:t>1,200</w:t>
            </w:r>
          </w:p>
        </w:tc>
        <w:tc>
          <w:tcPr>
            <w:tcW w:type="dxa" w:w="5102"/>
          </w:tcPr>
          <w:p>
            <w:r>
              <w:t>Touch layout testing, service worker, home-screen install manifest</w:t>
            </w:r>
          </w:p>
        </w:tc>
      </w:tr>
      <w:tr>
        <w:tc>
          <w:tcPr>
            <w:tcW w:type="dxa" w:w="3969"/>
          </w:tcPr>
          <w:p>
            <w:pPr>
              <w:shd w:val="clear" w:color="auto" w:fill="DCE6F1"/>
            </w:pPr>
            <w:r>
              <w:t>Google Play Store developer account</w:t>
            </w:r>
          </w:p>
        </w:tc>
        <w:tc>
          <w:tcPr>
            <w:tcW w:type="dxa" w:w="1701"/>
          </w:tcPr>
          <w:p>
            <w:pPr>
              <w:shd w:val="clear" w:color="auto" w:fill="DCE6F1"/>
            </w:pPr>
            <w:r>
              <w:t>38</w:t>
            </w:r>
          </w:p>
        </w:tc>
        <w:tc>
          <w:tcPr>
            <w:tcW w:type="dxa" w:w="5102"/>
          </w:tcPr>
          <w:p>
            <w:pPr>
              <w:shd w:val="clear" w:color="auto" w:fill="DCE6F1"/>
            </w:pPr>
            <w:r>
              <w:t>One-time fee (USD 25)</w:t>
            </w:r>
          </w:p>
        </w:tc>
      </w:tr>
      <w:tr>
        <w:tc>
          <w:tcPr>
            <w:tcW w:type="dxa" w:w="3969"/>
          </w:tcPr>
          <w:p>
            <w:r>
              <w:t>Apple App Store (deferred to Year 2)</w:t>
            </w:r>
          </w:p>
        </w:tc>
        <w:tc>
          <w:tcPr>
            <w:tcW w:type="dxa" w:w="1701"/>
          </w:tcPr>
          <w:p>
            <w:r>
              <w:t>135</w:t>
            </w:r>
          </w:p>
        </w:tc>
        <w:tc>
          <w:tcPr>
            <w:tcW w:type="dxa" w:w="5102"/>
          </w:tcPr>
          <w:p>
            <w:r>
              <w:t>Annual programme fee (USD 99) — budgeted for planning purposes</w:t>
            </w:r>
          </w:p>
        </w:tc>
      </w:tr>
      <w:tr>
        <w:tc>
          <w:tcPr>
            <w:tcW w:type="dxa" w:w="3969"/>
          </w:tcPr>
          <w:p>
            <w:pPr>
              <w:shd w:val="clear" w:color="auto" w:fill="DCE6F1"/>
            </w:pPr>
            <w:r>
              <w:t>Domain + Hosting (Year 1)</w:t>
            </w:r>
          </w:p>
        </w:tc>
        <w:tc>
          <w:tcPr>
            <w:tcW w:type="dxa" w:w="1701"/>
          </w:tcPr>
          <w:p>
            <w:pPr>
              <w:shd w:val="clear" w:color="auto" w:fill="DCE6F1"/>
            </w:pPr>
            <w:r>
              <w:t>120</w:t>
            </w:r>
          </w:p>
        </w:tc>
        <w:tc>
          <w:tcPr>
            <w:tcW w:type="dxa" w:w="5102"/>
          </w:tcPr>
          <w:p>
            <w:pPr>
              <w:shd w:val="clear" w:color="auto" w:fill="DCE6F1"/>
            </w:pPr>
            <w:r>
              <w:t>Custom domain + Netlify Pro or equivalent static CDN</w:t>
            </w:r>
          </w:p>
        </w:tc>
      </w:tr>
      <w:tr>
        <w:tc>
          <w:tcPr>
            <w:tcW w:type="dxa" w:w="3969"/>
          </w:tcPr>
          <w:p>
            <w:r>
              <w:t>Social Media Advertising (6 months)</w:t>
            </w:r>
          </w:p>
        </w:tc>
        <w:tc>
          <w:tcPr>
            <w:tcW w:type="dxa" w:w="1701"/>
          </w:tcPr>
          <w:p>
            <w:r>
              <w:t>2,000</w:t>
            </w:r>
          </w:p>
        </w:tc>
        <w:tc>
          <w:tcPr>
            <w:tcW w:type="dxa" w:w="5102"/>
          </w:tcPr>
          <w:p>
            <w:r>
              <w:t>NZD 333/month across Meta (Facebook/Instagram) + TikTok</w:t>
            </w:r>
          </w:p>
        </w:tc>
      </w:tr>
      <w:tr>
        <w:tc>
          <w:tcPr>
            <w:tcW w:type="dxa" w:w="3969"/>
          </w:tcPr>
          <w:p>
            <w:pPr>
              <w:shd w:val="clear" w:color="auto" w:fill="DCE6F1"/>
            </w:pPr>
            <w:r>
              <w:t>Influencer Marketing (3 posts)</w:t>
            </w:r>
          </w:p>
        </w:tc>
        <w:tc>
          <w:tcPr>
            <w:tcW w:type="dxa" w:w="1701"/>
          </w:tcPr>
          <w:p>
            <w:pPr>
              <w:shd w:val="clear" w:color="auto" w:fill="DCE6F1"/>
            </w:pPr>
            <w:r>
              <w:t>1,200</w:t>
            </w:r>
          </w:p>
        </w:tc>
        <w:tc>
          <w:tcPr>
            <w:tcW w:type="dxa" w:w="5102"/>
          </w:tcPr>
          <w:p>
            <w:pPr>
              <w:shd w:val="clear" w:color="auto" w:fill="DCE6F1"/>
            </w:pPr>
            <w:r>
              <w:t>2–3 Nepali food micro-influencers at NZD 400 average per post</w:t>
            </w:r>
          </w:p>
        </w:tc>
      </w:tr>
      <w:tr>
        <w:tc>
          <w:tcPr>
            <w:tcW w:type="dxa" w:w="3969"/>
          </w:tcPr>
          <w:p>
            <w:r>
              <w:t>Miscellaneous / Contingency (10%)</w:t>
            </w:r>
          </w:p>
        </w:tc>
        <w:tc>
          <w:tcPr>
            <w:tcW w:type="dxa" w:w="1701"/>
          </w:tcPr>
          <w:p>
            <w:r>
              <w:t>700</w:t>
            </w:r>
          </w:p>
        </w:tc>
        <w:tc>
          <w:tcPr>
            <w:tcW w:type="dxa" w:w="5102"/>
          </w:tcPr>
          <w:p>
            <w:r>
              <w:t>Buffer for scope creep, tool subscriptions, translation</w:t>
            </w:r>
          </w:p>
        </w:tc>
      </w:tr>
      <w:tr>
        <w:tc>
          <w:tcPr>
            <w:tcW w:type="dxa" w:w="3969"/>
          </w:tcPr>
          <w:p>
            <w:pPr>
              <w:shd w:val="clear" w:color="auto" w:fill="DCE6F1"/>
            </w:pPr>
            <w:r>
              <w:t>TOTAL LAUNCH INVESTMENT</w:t>
            </w:r>
          </w:p>
        </w:tc>
        <w:tc>
          <w:tcPr>
            <w:tcW w:type="dxa" w:w="1701"/>
          </w:tcPr>
          <w:p>
            <w:pPr>
              <w:shd w:val="clear" w:color="auto" w:fill="DCE6F1"/>
            </w:pPr>
            <w:r>
              <w:t>7,693</w:t>
            </w:r>
          </w:p>
        </w:tc>
        <w:tc>
          <w:tcPr>
            <w:tcW w:type="dxa" w:w="5102"/>
          </w:tcPr>
          <w:p>
            <w:pPr>
              <w:shd w:val="clear" w:color="auto" w:fill="DCE6F1"/>
            </w:pPr>
            <w:r/>
          </w:p>
        </w:tc>
      </w:tr>
    </w:tbl>
    <w:p/>
    <w:p>
      <w:r>
        <w:t>Key assumptions: (1) Development is complete — the fully functional game across three levels with all gamification systems is the starting point, not a deliverable within this budget. (2) Sound design and graphic design are outsourced to freelancers via Fiverr/Upwork at market rates verified in June 2026. (3) No office or infrastructure overhead — fully remote software operation. (4) PWA browser delivery is the primary channel, eliminating the 30% platform revenue cut for the majority of users.</w:t>
      </w:r>
    </w:p>
    <w:p>
      <w:pPr>
        <w:pStyle w:val="Heading1"/>
      </w:pPr>
      <w:r>
        <w:rPr>
          <w:color w:val="1F497D"/>
        </w:rPr>
        <w:t>Revenue Projection and Breakeven</w:t>
      </w:r>
    </w:p>
    <w:p>
      <w:pPr>
        <w:pStyle w:val="Heading2"/>
      </w:pPr>
      <w:r>
        <w:rPr>
          <w:color w:val="2E74B5"/>
        </w:rPr>
        <w:t>13.1  Key Assumptions</w:t>
      </w:r>
    </w:p>
    <w:p>
      <w:pPr>
        <w:pStyle w:val="ListBullet"/>
        <w:ind w:left="360"/>
      </w:pPr>
      <w:r>
        <w:t>MAU growth follows an S-curve: slow initial adoption (0–3 months), acceleration at month 6 post-launch campaign, plateau/stability by month 18.</w:t>
      </w:r>
    </w:p>
    <w:p>
      <w:pPr>
        <w:pStyle w:val="ListBullet"/>
        <w:ind w:left="360"/>
      </w:pPr>
      <w:r>
        <w:t>Rewarded ad eCPM: NZD 20 (conservative; equivalent to USD 12, below the USD 15–18 industry average reported by IronSource, 2024).</w:t>
      </w:r>
    </w:p>
    <w:p>
      <w:pPr>
        <w:pStyle w:val="ListBullet"/>
        <w:ind w:left="360"/>
      </w:pPr>
      <w:r>
        <w:t>Average ad views per user per month: 6 (0.5 per session × 3 sessions per week × 4 weeks).</w:t>
      </w:r>
    </w:p>
    <w:p>
      <w:pPr>
        <w:pStyle w:val="ListBullet"/>
        <w:ind w:left="360"/>
      </w:pPr>
      <w:r>
        <w:t>IAP conversion: 1.5% Year 1, rising to 2% Year 2 and 2.5% Year 3 as the player base matures and IAP catalogue expands.</w:t>
      </w:r>
    </w:p>
    <w:p>
      <w:pPr>
        <w:pStyle w:val="ListBullet"/>
        <w:ind w:left="360"/>
      </w:pPr>
      <w:r>
        <w:t>Average revenue per paying user (ARPPU): NZD 3.50/month (blended across booster packs, Rupee bundles, and season passes).</w:t>
      </w:r>
    </w:p>
    <w:p>
      <w:pPr>
        <w:pStyle w:val="ListBullet"/>
        <w:ind w:left="360"/>
      </w:pPr>
      <w:r>
        <w:t>Cultural licence sales: 0 in Year 1 (outreach takes time), 3 licences in Year 2, 8 in Year 3 at NZD 3,000 average.</w:t>
      </w:r>
    </w:p>
    <w:p>
      <w:pPr>
        <w:pStyle w:val="ListBullet"/>
        <w:ind w:left="360"/>
      </w:pPr>
      <w:r>
        <w:t>Ad network takes 30% revenue share; net to game developer: 70%.</w:t>
      </w:r>
    </w:p>
    <w:p>
      <w:pPr>
        <w:pStyle w:val="Heading2"/>
      </w:pPr>
      <w:r>
        <w:rPr>
          <w:color w:val="2E74B5"/>
        </w:rPr>
        <w:t>13.2  Three-Year Revenue Projection</w:t>
      </w:r>
    </w:p>
    <w:tbl>
      <w:tblPr>
        <w:tblStyle w:val="TableGrid"/>
        <w:tblW w:type="auto" w:w="0"/>
        <w:tblLook w:firstColumn="1" w:firstRow="1" w:lastColumn="0" w:lastRow="0" w:noHBand="0" w:noVBand="1" w:val="04A0"/>
      </w:tblPr>
      <w:tblGrid>
        <w:gridCol w:w="2161"/>
        <w:gridCol w:w="2161"/>
        <w:gridCol w:w="2161"/>
        <w:gridCol w:w="2161"/>
      </w:tblGrid>
      <w:tr>
        <w:trPr>
          <w:trHeight w:val="454"/>
        </w:trPr>
        <w:tc>
          <w:tcPr>
            <w:tcW w:type="dxa" w:w="3402"/>
          </w:tcPr>
          <w:p>
            <w:pPr>
              <w:shd w:val="clear" w:color="auto" w:fill="1F497D"/>
              <w:jc w:val="center"/>
            </w:pPr>
            <w:r>
              <w:rPr>
                <w:b/>
                <w:color w:val="FFFFFF"/>
              </w:rPr>
              <w:t>Revenue Source</w:t>
            </w:r>
          </w:p>
        </w:tc>
        <w:tc>
          <w:tcPr>
            <w:tcW w:type="dxa" w:w="1984"/>
          </w:tcPr>
          <w:p>
            <w:pPr>
              <w:shd w:val="clear" w:color="auto" w:fill="1F497D"/>
              <w:jc w:val="center"/>
            </w:pPr>
            <w:r>
              <w:rPr>
                <w:b/>
                <w:color w:val="FFFFFF"/>
              </w:rPr>
              <w:t>Year 1</w:t>
            </w:r>
          </w:p>
        </w:tc>
        <w:tc>
          <w:tcPr>
            <w:tcW w:type="dxa" w:w="1984"/>
          </w:tcPr>
          <w:p>
            <w:pPr>
              <w:shd w:val="clear" w:color="auto" w:fill="1F497D"/>
              <w:jc w:val="center"/>
            </w:pPr>
            <w:r>
              <w:rPr>
                <w:b/>
                <w:color w:val="FFFFFF"/>
              </w:rPr>
              <w:t>Year 2</w:t>
            </w:r>
          </w:p>
        </w:tc>
        <w:tc>
          <w:tcPr>
            <w:tcW w:type="dxa" w:w="1984"/>
          </w:tcPr>
          <w:p>
            <w:pPr>
              <w:shd w:val="clear" w:color="auto" w:fill="1F497D"/>
              <w:jc w:val="center"/>
            </w:pPr>
            <w:r>
              <w:rPr>
                <w:b/>
                <w:color w:val="FFFFFF"/>
              </w:rPr>
              <w:t>Year 3</w:t>
            </w:r>
          </w:p>
        </w:tc>
      </w:tr>
      <w:tr>
        <w:tc>
          <w:tcPr>
            <w:tcW w:type="dxa" w:w="3402"/>
          </w:tcPr>
          <w:p>
            <w:r>
              <w:t>Average MAU</w:t>
            </w:r>
          </w:p>
        </w:tc>
        <w:tc>
          <w:tcPr>
            <w:tcW w:type="dxa" w:w="1984"/>
          </w:tcPr>
          <w:p>
            <w:r>
              <w:t>5,000</w:t>
            </w:r>
          </w:p>
        </w:tc>
        <w:tc>
          <w:tcPr>
            <w:tcW w:type="dxa" w:w="1984"/>
          </w:tcPr>
          <w:p>
            <w:r>
              <w:t>25,000</w:t>
            </w:r>
          </w:p>
        </w:tc>
        <w:tc>
          <w:tcPr>
            <w:tcW w:type="dxa" w:w="1984"/>
          </w:tcPr>
          <w:p>
            <w:r>
              <w:t>80,000</w:t>
            </w:r>
          </w:p>
        </w:tc>
      </w:tr>
      <w:tr>
        <w:tc>
          <w:tcPr>
            <w:tcW w:type="dxa" w:w="3402"/>
          </w:tcPr>
          <w:p>
            <w:pPr>
              <w:shd w:val="clear" w:color="auto" w:fill="DCE6F1"/>
            </w:pPr>
            <w:r>
              <w:t>Ad Revenue (net 70%)</w:t>
            </w:r>
          </w:p>
        </w:tc>
        <w:tc>
          <w:tcPr>
            <w:tcW w:type="dxa" w:w="1984"/>
          </w:tcPr>
          <w:p>
            <w:pPr>
              <w:shd w:val="clear" w:color="auto" w:fill="DCE6F1"/>
            </w:pPr>
            <w:r>
              <w:t>NZD 5,040</w:t>
            </w:r>
          </w:p>
        </w:tc>
        <w:tc>
          <w:tcPr>
            <w:tcW w:type="dxa" w:w="1984"/>
          </w:tcPr>
          <w:p>
            <w:pPr>
              <w:shd w:val="clear" w:color="auto" w:fill="DCE6F1"/>
            </w:pPr>
            <w:r>
              <w:t>NZD 25,200</w:t>
            </w:r>
          </w:p>
        </w:tc>
        <w:tc>
          <w:tcPr>
            <w:tcW w:type="dxa" w:w="1984"/>
          </w:tcPr>
          <w:p>
            <w:pPr>
              <w:shd w:val="clear" w:color="auto" w:fill="DCE6F1"/>
            </w:pPr>
            <w:r>
              <w:t>NZD 80,640</w:t>
            </w:r>
          </w:p>
        </w:tc>
      </w:tr>
      <w:tr>
        <w:tc>
          <w:tcPr>
            <w:tcW w:type="dxa" w:w="3402"/>
          </w:tcPr>
          <w:p>
            <w:r>
              <w:t>IAP Revenue</w:t>
            </w:r>
          </w:p>
        </w:tc>
        <w:tc>
          <w:tcPr>
            <w:tcW w:type="dxa" w:w="1984"/>
          </w:tcPr>
          <w:p>
            <w:r>
              <w:t>NZD 3,150</w:t>
            </w:r>
          </w:p>
        </w:tc>
        <w:tc>
          <w:tcPr>
            <w:tcW w:type="dxa" w:w="1984"/>
          </w:tcPr>
          <w:p>
            <w:r>
              <w:t>NZD 26,250</w:t>
            </w:r>
          </w:p>
        </w:tc>
        <w:tc>
          <w:tcPr>
            <w:tcW w:type="dxa" w:w="1984"/>
          </w:tcPr>
          <w:p>
            <w:r>
              <w:t>NZD 100,800</w:t>
            </w:r>
          </w:p>
        </w:tc>
      </w:tr>
      <w:tr>
        <w:tc>
          <w:tcPr>
            <w:tcW w:type="dxa" w:w="3402"/>
          </w:tcPr>
          <w:p>
            <w:pPr>
              <w:shd w:val="clear" w:color="auto" w:fill="DCE6F1"/>
            </w:pPr>
            <w:r>
              <w:t>Cultural Licences</w:t>
            </w:r>
          </w:p>
        </w:tc>
        <w:tc>
          <w:tcPr>
            <w:tcW w:type="dxa" w:w="1984"/>
          </w:tcPr>
          <w:p>
            <w:pPr>
              <w:shd w:val="clear" w:color="auto" w:fill="DCE6F1"/>
            </w:pPr>
            <w:r>
              <w:t>NZD 0</w:t>
            </w:r>
          </w:p>
        </w:tc>
        <w:tc>
          <w:tcPr>
            <w:tcW w:type="dxa" w:w="1984"/>
          </w:tcPr>
          <w:p>
            <w:pPr>
              <w:shd w:val="clear" w:color="auto" w:fill="DCE6F1"/>
            </w:pPr>
            <w:r>
              <w:t>NZD 9,000</w:t>
            </w:r>
          </w:p>
        </w:tc>
        <w:tc>
          <w:tcPr>
            <w:tcW w:type="dxa" w:w="1984"/>
          </w:tcPr>
          <w:p>
            <w:pPr>
              <w:shd w:val="clear" w:color="auto" w:fill="DCE6F1"/>
            </w:pPr>
            <w:r>
              <w:t>NZD 24,000</w:t>
            </w:r>
          </w:p>
        </w:tc>
      </w:tr>
      <w:tr>
        <w:tc>
          <w:tcPr>
            <w:tcW w:type="dxa" w:w="3402"/>
          </w:tcPr>
          <w:p>
            <w:r>
              <w:t>Premium Version (Year 3 only)</w:t>
            </w:r>
          </w:p>
        </w:tc>
        <w:tc>
          <w:tcPr>
            <w:tcW w:type="dxa" w:w="1984"/>
          </w:tcPr>
          <w:p>
            <w:r>
              <w:t>—</w:t>
            </w:r>
          </w:p>
        </w:tc>
        <w:tc>
          <w:tcPr>
            <w:tcW w:type="dxa" w:w="1984"/>
          </w:tcPr>
          <w:p>
            <w:r>
              <w:t>—</w:t>
            </w:r>
          </w:p>
        </w:tc>
        <w:tc>
          <w:tcPr>
            <w:tcW w:type="dxa" w:w="1984"/>
          </w:tcPr>
          <w:p>
            <w:r>
              <w:t>NZD 15,920</w:t>
            </w:r>
          </w:p>
        </w:tc>
      </w:tr>
      <w:tr>
        <w:tc>
          <w:tcPr>
            <w:tcW w:type="dxa" w:w="3402"/>
          </w:tcPr>
          <w:p>
            <w:pPr>
              <w:shd w:val="clear" w:color="auto" w:fill="DCE6F1"/>
            </w:pPr>
            <w:r>
              <w:t>TOTAL REVENUE</w:t>
            </w:r>
          </w:p>
        </w:tc>
        <w:tc>
          <w:tcPr>
            <w:tcW w:type="dxa" w:w="1984"/>
          </w:tcPr>
          <w:p>
            <w:pPr>
              <w:shd w:val="clear" w:color="auto" w:fill="DCE6F1"/>
            </w:pPr>
            <w:r>
              <w:t>NZD 8,190</w:t>
            </w:r>
          </w:p>
        </w:tc>
        <w:tc>
          <w:tcPr>
            <w:tcW w:type="dxa" w:w="1984"/>
          </w:tcPr>
          <w:p>
            <w:pPr>
              <w:shd w:val="clear" w:color="auto" w:fill="DCE6F1"/>
            </w:pPr>
            <w:r>
              <w:t>NZD 60,450</w:t>
            </w:r>
          </w:p>
        </w:tc>
        <w:tc>
          <w:tcPr>
            <w:tcW w:type="dxa" w:w="1984"/>
          </w:tcPr>
          <w:p>
            <w:pPr>
              <w:shd w:val="clear" w:color="auto" w:fill="DCE6F1"/>
            </w:pPr>
            <w:r>
              <w:t>NZD 221,360</w:t>
            </w:r>
          </w:p>
        </w:tc>
      </w:tr>
    </w:tbl>
    <w:p/>
    <w:p>
      <w:r>
        <w:rPr>
          <w:i/>
        </w:rPr>
        <w:t>[Figure 4: Three-year revenue projection chart — stacked bar by revenue stream]</w:t>
      </w:r>
    </w:p>
    <w:p>
      <w:pPr>
        <w:pStyle w:val="Heading2"/>
      </w:pPr>
      <w:r>
        <w:rPr>
          <w:color w:val="2E74B5"/>
        </w:rPr>
        <w:t>13.3  Ongoing Monthly Operating Costs</w:t>
      </w:r>
    </w:p>
    <w:tbl>
      <w:tblPr>
        <w:tblStyle w:val="TableGrid"/>
        <w:tblW w:type="auto" w:w="0"/>
        <w:tblLook w:firstColumn="1" w:firstRow="1" w:lastColumn="0" w:lastRow="0" w:noHBand="0" w:noVBand="1" w:val="04A0"/>
      </w:tblPr>
      <w:tblGrid>
        <w:gridCol w:w="4323"/>
        <w:gridCol w:w="4323"/>
      </w:tblGrid>
      <w:tr>
        <w:trPr>
          <w:trHeight w:val="454"/>
        </w:trPr>
        <w:tc>
          <w:tcPr>
            <w:tcW w:type="dxa" w:w="5669"/>
          </w:tcPr>
          <w:p>
            <w:pPr>
              <w:shd w:val="clear" w:color="auto" w:fill="1F497D"/>
              <w:jc w:val="center"/>
            </w:pPr>
            <w:r>
              <w:rPr>
                <w:b/>
                <w:color w:val="FFFFFF"/>
              </w:rPr>
              <w:t>Item</w:t>
            </w:r>
          </w:p>
        </w:tc>
        <w:tc>
          <w:tcPr>
            <w:tcW w:type="dxa" w:w="2268"/>
          </w:tcPr>
          <w:p>
            <w:pPr>
              <w:shd w:val="clear" w:color="auto" w:fill="1F497D"/>
              <w:jc w:val="center"/>
            </w:pPr>
            <w:r>
              <w:rPr>
                <w:b/>
                <w:color w:val="FFFFFF"/>
              </w:rPr>
              <w:t>Monthly Cost (NZD)</w:t>
            </w:r>
          </w:p>
        </w:tc>
      </w:tr>
      <w:tr>
        <w:tc>
          <w:tcPr>
            <w:tcW w:type="dxa" w:w="5669"/>
          </w:tcPr>
          <w:p>
            <w:r>
              <w:t>Hosting / CDN</w:t>
            </w:r>
          </w:p>
        </w:tc>
        <w:tc>
          <w:tcPr>
            <w:tcW w:type="dxa" w:w="2268"/>
          </w:tcPr>
          <w:p>
            <w:r>
              <w:t>NZD 15</w:t>
            </w:r>
          </w:p>
        </w:tc>
      </w:tr>
      <w:tr>
        <w:tc>
          <w:tcPr>
            <w:tcW w:type="dxa" w:w="5669"/>
          </w:tcPr>
          <w:p>
            <w:pPr>
              <w:shd w:val="clear" w:color="auto" w:fill="DCE6F1"/>
            </w:pPr>
            <w:r>
              <w:t>Marketing / content creation</w:t>
            </w:r>
          </w:p>
        </w:tc>
        <w:tc>
          <w:tcPr>
            <w:tcW w:type="dxa" w:w="2268"/>
          </w:tcPr>
          <w:p>
            <w:pPr>
              <w:shd w:val="clear" w:color="auto" w:fill="DCE6F1"/>
            </w:pPr>
            <w:r>
              <w:t>NZD 400</w:t>
            </w:r>
          </w:p>
        </w:tc>
      </w:tr>
      <w:tr>
        <w:tc>
          <w:tcPr>
            <w:tcW w:type="dxa" w:w="5669"/>
          </w:tcPr>
          <w:p>
            <w:r>
              <w:t>Tools and subscriptions (analytics, ad SDK)</w:t>
            </w:r>
          </w:p>
        </w:tc>
        <w:tc>
          <w:tcPr>
            <w:tcW w:type="dxa" w:w="2268"/>
          </w:tcPr>
          <w:p>
            <w:r>
              <w:t>NZD 50</w:t>
            </w:r>
          </w:p>
        </w:tc>
      </w:tr>
      <w:tr>
        <w:tc>
          <w:tcPr>
            <w:tcW w:type="dxa" w:w="5669"/>
          </w:tcPr>
          <w:p>
            <w:pPr>
              <w:shd w:val="clear" w:color="auto" w:fill="DCE6F1"/>
            </w:pPr>
            <w:r>
              <w:t>TOTAL FIXED MONTHLY COSTS</w:t>
            </w:r>
          </w:p>
        </w:tc>
        <w:tc>
          <w:tcPr>
            <w:tcW w:type="dxa" w:w="2268"/>
          </w:tcPr>
          <w:p>
            <w:pPr>
              <w:shd w:val="clear" w:color="auto" w:fill="DCE6F1"/>
            </w:pPr>
            <w:r>
              <w:t>NZD 465</w:t>
            </w:r>
          </w:p>
        </w:tc>
      </w:tr>
    </w:tbl>
    <w:p/>
    <w:p>
      <w:pPr>
        <w:pStyle w:val="Heading2"/>
      </w:pPr>
      <w:r>
        <w:rPr>
          <w:color w:val="2E74B5"/>
        </w:rPr>
        <w:t>13.4  Breakeven Analysis</w:t>
      </w:r>
    </w:p>
    <w:p>
      <w:r>
        <w:t>Breakeven is calculated as the point at which cumulative revenue equals the sum of launch investment and ongoing operating costs.</w:t>
      </w:r>
    </w:p>
    <w:tbl>
      <w:tblPr>
        <w:tblStyle w:val="TableGrid"/>
        <w:tblW w:type="auto" w:w="0"/>
        <w:tblLook w:firstColumn="1" w:firstRow="1" w:lastColumn="0" w:lastRow="0" w:noHBand="0" w:noVBand="1" w:val="04A0"/>
      </w:tblPr>
      <w:tblGrid>
        <w:gridCol w:w="4323"/>
        <w:gridCol w:w="4323"/>
      </w:tblGrid>
      <w:tr>
        <w:trPr>
          <w:trHeight w:val="454"/>
        </w:trPr>
        <w:tc>
          <w:tcPr>
            <w:tcW w:type="dxa" w:w="4535"/>
          </w:tcPr>
          <w:p>
            <w:pPr>
              <w:shd w:val="clear" w:color="auto" w:fill="1F497D"/>
              <w:jc w:val="center"/>
            </w:pPr>
            <w:r>
              <w:rPr>
                <w:b/>
                <w:color w:val="FFFFFF"/>
              </w:rPr>
              <w:t>Metric</w:t>
            </w:r>
          </w:p>
        </w:tc>
        <w:tc>
          <w:tcPr>
            <w:tcW w:type="dxa" w:w="3402"/>
          </w:tcPr>
          <w:p>
            <w:pPr>
              <w:shd w:val="clear" w:color="auto" w:fill="1F497D"/>
              <w:jc w:val="center"/>
            </w:pPr>
            <w:r>
              <w:rPr>
                <w:b/>
                <w:color w:val="FFFFFF"/>
              </w:rPr>
              <w:t>Value</w:t>
            </w:r>
          </w:p>
        </w:tc>
      </w:tr>
      <w:tr>
        <w:tc>
          <w:tcPr>
            <w:tcW w:type="dxa" w:w="4535"/>
          </w:tcPr>
          <w:p>
            <w:r>
              <w:t>Total launch investment</w:t>
            </w:r>
          </w:p>
        </w:tc>
        <w:tc>
          <w:tcPr>
            <w:tcW w:type="dxa" w:w="3402"/>
          </w:tcPr>
          <w:p>
            <w:r>
              <w:t>NZD 7,693</w:t>
            </w:r>
          </w:p>
        </w:tc>
      </w:tr>
      <w:tr>
        <w:tc>
          <w:tcPr>
            <w:tcW w:type="dxa" w:w="4535"/>
          </w:tcPr>
          <w:p>
            <w:pPr>
              <w:shd w:val="clear" w:color="auto" w:fill="DCE6F1"/>
            </w:pPr>
            <w:r>
              <w:t>Monthly operating cost (fixed)</w:t>
            </w:r>
          </w:p>
        </w:tc>
        <w:tc>
          <w:tcPr>
            <w:tcW w:type="dxa" w:w="3402"/>
          </w:tcPr>
          <w:p>
            <w:pPr>
              <w:shd w:val="clear" w:color="auto" w:fill="DCE6F1"/>
            </w:pPr>
            <w:r>
              <w:t>NZD 465</w:t>
            </w:r>
          </w:p>
        </w:tc>
      </w:tr>
      <w:tr>
        <w:tc>
          <w:tcPr>
            <w:tcW w:type="dxa" w:w="4535"/>
          </w:tcPr>
          <w:p>
            <w:r>
              <w:t>Average monthly revenue — Year 1</w:t>
            </w:r>
          </w:p>
        </w:tc>
        <w:tc>
          <w:tcPr>
            <w:tcW w:type="dxa" w:w="3402"/>
          </w:tcPr>
          <w:p>
            <w:r>
              <w:t>NZD 683</w:t>
            </w:r>
          </w:p>
        </w:tc>
      </w:tr>
      <w:tr>
        <w:tc>
          <w:tcPr>
            <w:tcW w:type="dxa" w:w="4535"/>
          </w:tcPr>
          <w:p>
            <w:pPr>
              <w:shd w:val="clear" w:color="auto" w:fill="DCE6F1"/>
            </w:pPr>
            <w:r>
              <w:t>Average monthly surplus — Year 1</w:t>
            </w:r>
          </w:p>
        </w:tc>
        <w:tc>
          <w:tcPr>
            <w:tcW w:type="dxa" w:w="3402"/>
          </w:tcPr>
          <w:p>
            <w:pPr>
              <w:shd w:val="clear" w:color="auto" w:fill="DCE6F1"/>
            </w:pPr>
            <w:r>
              <w:t>NZD 218</w:t>
            </w:r>
          </w:p>
        </w:tc>
      </w:tr>
      <w:tr>
        <w:tc>
          <w:tcPr>
            <w:tcW w:type="dxa" w:w="4535"/>
          </w:tcPr>
          <w:p>
            <w:r>
              <w:t>Months to recover launch investment</w:t>
            </w:r>
          </w:p>
        </w:tc>
        <w:tc>
          <w:tcPr>
            <w:tcW w:type="dxa" w:w="3402"/>
          </w:tcPr>
          <w:p>
            <w:r>
              <w:t>~19 months</w:t>
            </w:r>
          </w:p>
        </w:tc>
      </w:tr>
      <w:tr>
        <w:tc>
          <w:tcPr>
            <w:tcW w:type="dxa" w:w="4535"/>
          </w:tcPr>
          <w:p>
            <w:pPr>
              <w:shd w:val="clear" w:color="auto" w:fill="DCE6F1"/>
            </w:pPr>
            <w:r>
              <w:t>Breakeven MAU threshold</w:t>
            </w:r>
          </w:p>
        </w:tc>
        <w:tc>
          <w:tcPr>
            <w:tcW w:type="dxa" w:w="3402"/>
          </w:tcPr>
          <w:p>
            <w:pPr>
              <w:shd w:val="clear" w:color="auto" w:fill="DCE6F1"/>
            </w:pPr>
            <w:r>
              <w:t>~15,000 MAU (accelerated scenario)</w:t>
            </w:r>
          </w:p>
        </w:tc>
      </w:tr>
      <w:tr>
        <w:tc>
          <w:tcPr>
            <w:tcW w:type="dxa" w:w="4535"/>
          </w:tcPr>
          <w:p>
            <w:r>
              <w:t>Accelerated breakeven (if MAU = 15,000 by Month 12)</w:t>
            </w:r>
          </w:p>
        </w:tc>
        <w:tc>
          <w:tcPr>
            <w:tcW w:type="dxa" w:w="3402"/>
          </w:tcPr>
          <w:p>
            <w:r>
              <w:t>~14 months</w:t>
            </w:r>
          </w:p>
        </w:tc>
      </w:tr>
    </w:tbl>
    <w:p/>
    <w:p>
      <w:r>
        <w:rPr>
          <w:i/>
        </w:rPr>
        <w:t>[Figure 5: Breakeven analysis — cumulative revenue vs cumulative costs over 24 months]</w:t>
      </w:r>
    </w:p>
    <w:p>
      <w:r>
        <w:t>Sensitivity note: The revenue model is more sensitive to MAU growth than to IAP conversion rate. A 50% increase in MAU growth rate advances breakeven by approximately 5 months; a 50% increase in IAP conversion rate advances it by approximately 3 months. User acquisition is therefore the primary lever to manage.</w:t>
      </w:r>
    </w:p>
    <w:p>
      <w:r>
        <w:br w:type="page"/>
      </w:r>
    </w:p>
    <w:p>
      <w:pPr>
        <w:pStyle w:val="Heading1"/>
      </w:pPr>
      <w:r>
        <w:rPr>
          <w:color w:val="1F497D"/>
        </w:rPr>
        <w:t>Risks and Ethics</w:t>
      </w:r>
    </w:p>
    <w:p>
      <w:pPr>
        <w:pStyle w:val="Heading2"/>
      </w:pPr>
      <w:r>
        <w:rPr>
          <w:color w:val="2E74B5"/>
        </w:rPr>
        <w:t>14.1  Business and Market Risks</w:t>
      </w:r>
    </w:p>
    <w:tbl>
      <w:tblPr>
        <w:tblStyle w:val="TableGrid"/>
        <w:tblW w:type="auto" w:w="0"/>
        <w:tblLook w:firstColumn="1" w:firstRow="1" w:lastColumn="0" w:lastRow="0" w:noHBand="0" w:noVBand="1" w:val="04A0"/>
      </w:tblPr>
      <w:tblGrid>
        <w:gridCol w:w="2161"/>
        <w:gridCol w:w="2161"/>
        <w:gridCol w:w="2161"/>
        <w:gridCol w:w="2161"/>
      </w:tblGrid>
      <w:tr>
        <w:trPr>
          <w:trHeight w:val="454"/>
        </w:trPr>
        <w:tc>
          <w:tcPr>
            <w:tcW w:type="dxa" w:w="2551"/>
          </w:tcPr>
          <w:p>
            <w:pPr>
              <w:shd w:val="clear" w:color="auto" w:fill="1F497D"/>
              <w:jc w:val="center"/>
            </w:pPr>
            <w:r>
              <w:rPr>
                <w:b/>
                <w:color w:val="FFFFFF"/>
              </w:rPr>
              <w:t>Risk</w:t>
            </w:r>
          </w:p>
        </w:tc>
        <w:tc>
          <w:tcPr>
            <w:tcW w:type="dxa" w:w="1134"/>
          </w:tcPr>
          <w:p>
            <w:pPr>
              <w:shd w:val="clear" w:color="auto" w:fill="1F497D"/>
              <w:jc w:val="center"/>
            </w:pPr>
            <w:r>
              <w:rPr>
                <w:b/>
                <w:color w:val="FFFFFF"/>
              </w:rPr>
              <w:t>Likelihood</w:t>
            </w:r>
          </w:p>
        </w:tc>
        <w:tc>
          <w:tcPr>
            <w:tcW w:type="dxa" w:w="1134"/>
          </w:tcPr>
          <w:p>
            <w:pPr>
              <w:shd w:val="clear" w:color="auto" w:fill="1F497D"/>
              <w:jc w:val="center"/>
            </w:pPr>
            <w:r>
              <w:rPr>
                <w:b/>
                <w:color w:val="FFFFFF"/>
              </w:rPr>
              <w:t>Impact</w:t>
            </w:r>
          </w:p>
        </w:tc>
        <w:tc>
          <w:tcPr>
            <w:tcW w:type="dxa" w:w="5953"/>
          </w:tcPr>
          <w:p>
            <w:pPr>
              <w:shd w:val="clear" w:color="auto" w:fill="1F497D"/>
              <w:jc w:val="center"/>
            </w:pPr>
            <w:r>
              <w:rPr>
                <w:b/>
                <w:color w:val="FFFFFF"/>
              </w:rPr>
              <w:t>Mitigation</w:t>
            </w:r>
          </w:p>
        </w:tc>
      </w:tr>
      <w:tr>
        <w:tc>
          <w:tcPr>
            <w:tcW w:type="dxa" w:w="2551"/>
          </w:tcPr>
          <w:p>
            <w:r>
              <w:t>Low user acquisition — marketing underperforms targets</w:t>
            </w:r>
          </w:p>
        </w:tc>
        <w:tc>
          <w:tcPr>
            <w:tcW w:type="dxa" w:w="1134"/>
          </w:tcPr>
          <w:p>
            <w:r>
              <w:t>Medium</w:t>
            </w:r>
          </w:p>
        </w:tc>
        <w:tc>
          <w:tcPr>
            <w:tcW w:type="dxa" w:w="1134"/>
          </w:tcPr>
          <w:p>
            <w:r>
              <w:t>High</w:t>
            </w:r>
          </w:p>
        </w:tc>
        <w:tc>
          <w:tcPr>
            <w:tcW w:type="dxa" w:w="5953"/>
          </w:tcPr>
          <w:p>
            <w:r>
              <w:t>Diversify channels; validate organic before committing paid spend; pivot to community-led growth if paid CAC exceeds NZD 0.50/user.</w:t>
            </w:r>
          </w:p>
        </w:tc>
      </w:tr>
      <w:tr>
        <w:tc>
          <w:tcPr>
            <w:tcW w:type="dxa" w:w="2551"/>
          </w:tcPr>
          <w:p>
            <w:pPr>
              <w:shd w:val="clear" w:color="auto" w:fill="DCE6F1"/>
            </w:pPr>
            <w:r>
              <w:t>Ad revenue declines — cookie deprecation, ad blocker growth</w:t>
            </w:r>
          </w:p>
        </w:tc>
        <w:tc>
          <w:tcPr>
            <w:tcW w:type="dxa" w:w="1134"/>
          </w:tcPr>
          <w:p>
            <w:pPr>
              <w:shd w:val="clear" w:color="auto" w:fill="DCE6F1"/>
            </w:pPr>
            <w:r>
              <w:t>Medium</w:t>
            </w:r>
          </w:p>
        </w:tc>
        <w:tc>
          <w:tcPr>
            <w:tcW w:type="dxa" w:w="1134"/>
          </w:tcPr>
          <w:p>
            <w:pPr>
              <w:shd w:val="clear" w:color="auto" w:fill="DCE6F1"/>
            </w:pPr>
            <w:r>
              <w:t>Medium</w:t>
            </w:r>
          </w:p>
        </w:tc>
        <w:tc>
          <w:tcPr>
            <w:tcW w:type="dxa" w:w="5953"/>
          </w:tcPr>
          <w:p>
            <w:pPr>
              <w:shd w:val="clear" w:color="auto" w:fill="DCE6F1"/>
            </w:pPr>
            <w:r>
              <w:t>Prioritise IAP as primary long-term revenue; ads are supplementary from Year 2 onward.</w:t>
            </w:r>
          </w:p>
        </w:tc>
      </w:tr>
      <w:tr>
        <w:tc>
          <w:tcPr>
            <w:tcW w:type="dxa" w:w="2551"/>
          </w:tcPr>
          <w:p>
            <w:r>
              <w:t>Competitor enters Nepali food game niche</w:t>
            </w:r>
          </w:p>
        </w:tc>
        <w:tc>
          <w:tcPr>
            <w:tcW w:type="dxa" w:w="1134"/>
          </w:tcPr>
          <w:p>
            <w:r>
              <w:t>Low</w:t>
            </w:r>
          </w:p>
        </w:tc>
        <w:tc>
          <w:tcPr>
            <w:tcW w:type="dxa" w:w="1134"/>
          </w:tcPr>
          <w:p>
            <w:r>
              <w:t>High</w:t>
            </w:r>
          </w:p>
        </w:tc>
        <w:tc>
          <w:tcPr>
            <w:tcW w:type="dxa" w:w="5953"/>
          </w:tcPr>
          <w:p>
            <w:r>
              <w:t>First-mover advantage; build community loyalty and brand identity rapidly in Year 1 to create switching cost.</w:t>
            </w:r>
          </w:p>
        </w:tc>
      </w:tr>
      <w:tr>
        <w:tc>
          <w:tcPr>
            <w:tcW w:type="dxa" w:w="2551"/>
          </w:tcPr>
          <w:p>
            <w:pPr>
              <w:shd w:val="clear" w:color="auto" w:fill="DCE6F1"/>
            </w:pPr>
            <w:r>
              <w:t>Browser API or interact.js breaking change</w:t>
            </w:r>
          </w:p>
        </w:tc>
        <w:tc>
          <w:tcPr>
            <w:tcW w:type="dxa" w:w="1134"/>
          </w:tcPr>
          <w:p>
            <w:pPr>
              <w:shd w:val="clear" w:color="auto" w:fill="DCE6F1"/>
            </w:pPr>
            <w:r>
              <w:t>Low</w:t>
            </w:r>
          </w:p>
        </w:tc>
        <w:tc>
          <w:tcPr>
            <w:tcW w:type="dxa" w:w="1134"/>
          </w:tcPr>
          <w:p>
            <w:pPr>
              <w:shd w:val="clear" w:color="auto" w:fill="DCE6F1"/>
            </w:pPr>
            <w:r>
              <w:t>High</w:t>
            </w:r>
          </w:p>
        </w:tc>
        <w:tc>
          <w:tcPr>
            <w:tcW w:type="dxa" w:w="5953"/>
          </w:tcPr>
          <w:p>
            <w:pPr>
              <w:shd w:val="clear" w:color="auto" w:fill="DCE6F1"/>
            </w:pPr>
            <w:r>
              <w:t>PWA architecture is forward-compatible; pin interact.js version; maintain vendored fallback (already in lib/ directory).</w:t>
            </w:r>
          </w:p>
        </w:tc>
      </w:tr>
      <w:tr>
        <w:tc>
          <w:tcPr>
            <w:tcW w:type="dxa" w:w="2551"/>
          </w:tcPr>
          <w:p>
            <w:r>
              <w:t>App store rejection (if pursuing native distribution)</w:t>
            </w:r>
          </w:p>
        </w:tc>
        <w:tc>
          <w:tcPr>
            <w:tcW w:type="dxa" w:w="1134"/>
          </w:tcPr>
          <w:p>
            <w:r>
              <w:t>Medium</w:t>
            </w:r>
          </w:p>
        </w:tc>
        <w:tc>
          <w:tcPr>
            <w:tcW w:type="dxa" w:w="1134"/>
          </w:tcPr>
          <w:p>
            <w:r>
              <w:t>Medium</w:t>
            </w:r>
          </w:p>
        </w:tc>
        <w:tc>
          <w:tcPr>
            <w:tcW w:type="dxa" w:w="5953"/>
          </w:tcPr>
          <w:p>
            <w:r>
              <w:t>Browser-first delivery bypasses stores for primary audience; native app is Year 2 optional expansion, not a launch dependency.</w:t>
            </w:r>
          </w:p>
        </w:tc>
      </w:tr>
    </w:tbl>
    <w:p/>
    <w:p>
      <w:pPr>
        <w:pStyle w:val="Heading2"/>
      </w:pPr>
      <w:r>
        <w:rPr>
          <w:color w:val="2E74B5"/>
        </w:rPr>
        <w:t>14.2  Technical Risks</w:t>
      </w:r>
    </w:p>
    <w:p>
      <w:pPr>
        <w:pStyle w:val="ListBullet"/>
        <w:ind w:left="360"/>
      </w:pPr>
      <w:r>
        <w:rPr>
          <w:b/>
        </w:rPr>
        <w:t xml:space="preserve">No persistent save: </w:t>
      </w:r>
      <w:r>
        <w:t>Current architecture is session-only — players who close the browser lose progress, directly harming Day-1 and Day-7 retention metrics. Mitigation: Implement localStorage-based save state as the highest-priority post-launch technical task.</w:t>
      </w:r>
    </w:p>
    <w:p>
      <w:pPr>
        <w:pStyle w:val="ListBullet"/>
        <w:ind w:left="360"/>
      </w:pPr>
      <w:r>
        <w:rPr>
          <w:b/>
        </w:rPr>
        <w:t xml:space="preserve">Mobile layout untested: </w:t>
      </w:r>
      <w:r>
        <w:t>interact.js supports touch events, but the current layout is desktop-optimised. Given that 54% of casual gamers play on mobile (Statista, 2024), this is a significant acquisition constraint. Mitigation: Mobile-responsive layout is explicitly budgeted in launch costs (NZD 1,200).</w:t>
      </w:r>
    </w:p>
    <w:p>
      <w:pPr>
        <w:pStyle w:val="ListBullet"/>
        <w:ind w:left="360"/>
      </w:pPr>
      <w:r>
        <w:rPr>
          <w:b/>
        </w:rPr>
        <w:t xml:space="preserve">Single developer bottleneck: </w:t>
      </w:r>
      <w:r>
        <w:t>As a solo-developed project, the speed of new content creation is constrained. Mitigation: The data-driven architecture (items.js, levels.js, customerTypes.js) minimises code change per new content item — new levels require only new config objects, not new code, enabling a part-time solo developer to maintain a bi-monthly content pipeline.</w:t>
      </w:r>
    </w:p>
    <w:p>
      <w:pPr>
        <w:pStyle w:val="Heading2"/>
      </w:pPr>
      <w:r>
        <w:rPr>
          <w:color w:val="2E74B5"/>
        </w:rPr>
        <w:t>14.3  Ethical Considerations</w:t>
      </w:r>
    </w:p>
    <w:p>
      <w:pPr>
        <w:pStyle w:val="Heading3"/>
      </w:pPr>
      <w:r>
        <w:t>14.3.1  Cultural Authenticity and Representation</w:t>
      </w:r>
    </w:p>
    <w:p>
      <w:r>
        <w:t>Momo Fever presents Nepali culture to a global audience. Inaccurate, stereotyped, or caricatured representation carries both reputational and genuine social harm risks — it can reinforce harmful stereotypes and alienate the very community whose engagement is central to the growth strategy. Mitigation: Engage Nepali community reviewers (minimum two independent reviewers from different regional backgrounds) during character design, customer naming, and cultural event content development before each content release.</w:t>
      </w:r>
    </w:p>
    <w:p>
      <w:pPr>
        <w:pStyle w:val="Heading3"/>
      </w:pPr>
      <w:r>
        <w:t>14.3.2  In-App Purchase Ethics — Children</w:t>
      </w:r>
    </w:p>
    <w:p>
      <w:r>
        <w:t>Freemium games with IAP have faced regulatory scrutiny in the EU (European Commission, 2023) and UK (CMA, 2022) regarding purchases by minors. Momo Fever's target demographic includes ages 16+, but browser games have no age verification. Mitigation: (1) All IAP are deterministic and fully disclosed — no loot boxes, no randomised probability purchases; (2) Parental gate (password confirmation) before any purchase screen; (3) Target PEGI 3 / ESRB Everyone rating, which signals appropriate content to parents and may facilitate educational licensing.</w:t>
      </w:r>
    </w:p>
    <w:p>
      <w:pPr>
        <w:pStyle w:val="Heading3"/>
      </w:pPr>
      <w:r>
        <w:t>14.3.3  Data Privacy</w:t>
      </w:r>
    </w:p>
    <w:p>
      <w:r>
        <w:t>Even without user accounts, analytics tools collect behavioural data. Mitigation: Full compliance with the New Zealand Privacy Act 2020 and GDPR where EU players are served; cookie consent banner on first load; anonymised, aggregated analytics only (no individual profiling); explicit no-data-sale policy published in a clear privacy notice linked from the game footer.</w:t>
      </w:r>
    </w:p>
    <w:p>
      <w:r>
        <w:br w:type="page"/>
      </w:r>
    </w:p>
    <w:p>
      <w:pPr>
        <w:pStyle w:val="Heading1"/>
      </w:pPr>
      <w:r>
        <w:rPr>
          <w:color w:val="1F497D"/>
        </w:rPr>
        <w:t>Division of Work</w:t>
      </w:r>
    </w:p>
    <w:p>
      <w:r>
        <w:t>Momo Fever was developed as a solo student project across six sprints, each with a defined Definition of Done and manual playtest gate. The full codebase — GameClock, DragManager, EventBus, all entities, all systems, all scenes, and all UI components — was designed, built, tested, and documented by a single developer. For commercial launch, the following team structure and role allocation is proposed:</w:t>
      </w:r>
    </w:p>
    <w:p>
      <w:pPr>
        <w:pStyle w:val="Heading2"/>
      </w:pPr>
      <w:r>
        <w:rPr>
          <w:color w:val="2E74B5"/>
        </w:rPr>
        <w:t>15.1  Proposed Commercial Team Structure</w:t>
      </w:r>
    </w:p>
    <w:tbl>
      <w:tblPr>
        <w:tblStyle w:val="TableGrid"/>
        <w:tblW w:type="auto" w:w="0"/>
        <w:tblLook w:firstColumn="1" w:firstRow="1" w:lastColumn="0" w:lastRow="0" w:noHBand="0" w:noVBand="1" w:val="04A0"/>
      </w:tblPr>
      <w:tblGrid>
        <w:gridCol w:w="2882"/>
        <w:gridCol w:w="2882"/>
        <w:gridCol w:w="2882"/>
      </w:tblGrid>
      <w:tr>
        <w:trPr>
          <w:trHeight w:val="454"/>
        </w:trPr>
        <w:tc>
          <w:tcPr>
            <w:tcW w:type="dxa" w:w="2551"/>
          </w:tcPr>
          <w:p>
            <w:pPr>
              <w:shd w:val="clear" w:color="auto" w:fill="1F497D"/>
              <w:jc w:val="center"/>
            </w:pPr>
            <w:r>
              <w:rPr>
                <w:b/>
                <w:color w:val="FFFFFF"/>
              </w:rPr>
              <w:t>Role</w:t>
            </w:r>
          </w:p>
        </w:tc>
        <w:tc>
          <w:tcPr>
            <w:tcW w:type="dxa" w:w="6803"/>
          </w:tcPr>
          <w:p>
            <w:pPr>
              <w:shd w:val="clear" w:color="auto" w:fill="1F497D"/>
              <w:jc w:val="center"/>
            </w:pPr>
            <w:r>
              <w:rPr>
                <w:b/>
                <w:color w:val="FFFFFF"/>
              </w:rPr>
              <w:t>Responsibilities</w:t>
            </w:r>
          </w:p>
        </w:tc>
        <w:tc>
          <w:tcPr>
            <w:tcW w:type="dxa" w:w="1417"/>
          </w:tcPr>
          <w:p>
            <w:pPr>
              <w:shd w:val="clear" w:color="auto" w:fill="1F497D"/>
              <w:jc w:val="center"/>
            </w:pPr>
            <w:r>
              <w:rPr>
                <w:b/>
                <w:color w:val="FFFFFF"/>
              </w:rPr>
              <w:t>% Effort</w:t>
            </w:r>
          </w:p>
        </w:tc>
      </w:tr>
      <w:tr>
        <w:tc>
          <w:tcPr>
            <w:tcW w:type="dxa" w:w="2551"/>
          </w:tcPr>
          <w:p>
            <w:r>
              <w:t>Lead Developer / Founder</w:t>
            </w:r>
          </w:p>
        </w:tc>
        <w:tc>
          <w:tcPr>
            <w:tcW w:type="dxa" w:w="6803"/>
          </w:tcPr>
          <w:p>
            <w:r>
              <w:t>Core game maintenance, new level content, PWA implementation, localStorage save, mobile responsive layout, bug triage.</w:t>
            </w:r>
          </w:p>
        </w:tc>
        <w:tc>
          <w:tcPr>
            <w:tcW w:type="dxa" w:w="1417"/>
          </w:tcPr>
          <w:p>
            <w:r>
              <w:t>40%</w:t>
            </w:r>
          </w:p>
        </w:tc>
      </w:tr>
      <w:tr>
        <w:tc>
          <w:tcPr>
            <w:tcW w:type="dxa" w:w="2551"/>
          </w:tcPr>
          <w:p>
            <w:pPr>
              <w:shd w:val="clear" w:color="auto" w:fill="DCE6F1"/>
            </w:pPr>
            <w:r>
              <w:t>Marketing Manager</w:t>
            </w:r>
          </w:p>
        </w:tc>
        <w:tc>
          <w:tcPr>
            <w:tcW w:type="dxa" w:w="6803"/>
          </w:tcPr>
          <w:p>
            <w:pPr>
              <w:shd w:val="clear" w:color="auto" w:fill="DCE6F1"/>
            </w:pPr>
            <w:r>
              <w:t>Social media content creation (TikTok, Instagram, Reddit), influencer outreach, community management, paid ad campaign management, KPI reporting.</w:t>
            </w:r>
          </w:p>
        </w:tc>
        <w:tc>
          <w:tcPr>
            <w:tcW w:type="dxa" w:w="1417"/>
          </w:tcPr>
          <w:p>
            <w:pPr>
              <w:shd w:val="clear" w:color="auto" w:fill="DCE6F1"/>
            </w:pPr>
            <w:r>
              <w:t>30%</w:t>
            </w:r>
          </w:p>
        </w:tc>
      </w:tr>
      <w:tr>
        <w:tc>
          <w:tcPr>
            <w:tcW w:type="dxa" w:w="2551"/>
          </w:tcPr>
          <w:p>
            <w:r>
              <w:t>UI/UX Designer</w:t>
            </w:r>
          </w:p>
        </w:tc>
        <w:tc>
          <w:tcPr>
            <w:tcW w:type="dxa" w:w="6803"/>
          </w:tcPr>
          <w:p>
            <w:r>
              <w:t>App icon, social media templates, UI polish pass, mobile responsive layout visual review, seasonal event art.</w:t>
            </w:r>
          </w:p>
        </w:tc>
        <w:tc>
          <w:tcPr>
            <w:tcW w:type="dxa" w:w="1417"/>
          </w:tcPr>
          <w:p>
            <w:r>
              <w:t>15%</w:t>
            </w:r>
          </w:p>
        </w:tc>
      </w:tr>
      <w:tr>
        <w:tc>
          <w:tcPr>
            <w:tcW w:type="dxa" w:w="2551"/>
          </w:tcPr>
          <w:p>
            <w:pPr>
              <w:shd w:val="clear" w:color="auto" w:fill="DCE6F1"/>
            </w:pPr>
            <w:r>
              <w:t>Sound Designer (Freelance)</w:t>
            </w:r>
          </w:p>
        </w:tc>
        <w:tc>
          <w:tcPr>
            <w:tcW w:type="dxa" w:w="6803"/>
          </w:tcPr>
          <w:p>
            <w:pPr>
              <w:shd w:val="clear" w:color="auto" w:fill="DCE6F1"/>
            </w:pPr>
            <w:r>
              <w:t>SFX (cooking sounds, ding, failure buzz), background music loop, ambient stall soundscape.</w:t>
            </w:r>
          </w:p>
        </w:tc>
        <w:tc>
          <w:tcPr>
            <w:tcW w:type="dxa" w:w="1417"/>
          </w:tcPr>
          <w:p>
            <w:pPr>
              <w:shd w:val="clear" w:color="auto" w:fill="DCE6F1"/>
            </w:pPr>
            <w:r>
              <w:t>10%</w:t>
            </w:r>
          </w:p>
        </w:tc>
      </w:tr>
      <w:tr>
        <w:tc>
          <w:tcPr>
            <w:tcW w:type="dxa" w:w="2551"/>
          </w:tcPr>
          <w:p>
            <w:r>
              <w:t>Community Liaison</w:t>
            </w:r>
          </w:p>
        </w:tc>
        <w:tc>
          <w:tcPr>
            <w:tcW w:type="dxa" w:w="6803"/>
          </w:tcPr>
          <w:p>
            <w:r>
              <w:t>Nepali diaspora network outreach, cultural content review, institutional licensing partnership development.</w:t>
            </w:r>
          </w:p>
        </w:tc>
        <w:tc>
          <w:tcPr>
            <w:tcW w:type="dxa" w:w="1417"/>
          </w:tcPr>
          <w:p>
            <w:r>
              <w:t>5%</w:t>
            </w:r>
          </w:p>
        </w:tc>
      </w:tr>
    </w:tbl>
    <w:p/>
    <w:p>
      <w:pPr>
        <w:pStyle w:val="Heading2"/>
      </w:pPr>
      <w:r>
        <w:rPr>
          <w:color w:val="2E74B5"/>
        </w:rPr>
        <w:t>15.2  Academic Project Contribution Summary</w:t>
      </w:r>
    </w:p>
    <w:p>
      <w:r>
        <w:t>For the purposes of this assessment, the following summarises the individual contributions to the overall project:</w:t>
      </w:r>
    </w:p>
    <w:tbl>
      <w:tblPr>
        <w:tblStyle w:val="TableGrid"/>
        <w:tblW w:type="auto" w:w="0"/>
        <w:tblLook w:firstColumn="1" w:firstRow="1" w:lastColumn="0" w:lastRow="0" w:noHBand="0" w:noVBand="1" w:val="04A0"/>
      </w:tblPr>
      <w:tblGrid>
        <w:gridCol w:w="2882"/>
        <w:gridCol w:w="2882"/>
        <w:gridCol w:w="2882"/>
      </w:tblGrid>
      <w:tr>
        <w:trPr>
          <w:trHeight w:val="454"/>
        </w:trPr>
        <w:tc>
          <w:tcPr>
            <w:tcW w:type="dxa" w:w="2835"/>
          </w:tcPr>
          <w:p>
            <w:pPr>
              <w:shd w:val="clear" w:color="auto" w:fill="1F497D"/>
              <w:jc w:val="center"/>
            </w:pPr>
            <w:r>
              <w:rPr>
                <w:b/>
                <w:color w:val="FFFFFF"/>
              </w:rPr>
              <w:t>Deliverable</w:t>
            </w:r>
          </w:p>
        </w:tc>
        <w:tc>
          <w:tcPr>
            <w:tcW w:type="dxa" w:w="1701"/>
          </w:tcPr>
          <w:p>
            <w:pPr>
              <w:shd w:val="clear" w:color="auto" w:fill="1F497D"/>
              <w:jc w:val="center"/>
            </w:pPr>
            <w:r>
              <w:rPr>
                <w:b/>
                <w:color w:val="FFFFFF"/>
              </w:rPr>
              <w:t>Contributor</w:t>
            </w:r>
          </w:p>
        </w:tc>
        <w:tc>
          <w:tcPr>
            <w:tcW w:type="dxa" w:w="6236"/>
          </w:tcPr>
          <w:p>
            <w:pPr>
              <w:shd w:val="clear" w:color="auto" w:fill="1F497D"/>
              <w:jc w:val="center"/>
            </w:pPr>
            <w:r>
              <w:rPr>
                <w:b/>
                <w:color w:val="FFFFFF"/>
              </w:rPr>
              <w:t>Details</w:t>
            </w:r>
          </w:p>
        </w:tc>
      </w:tr>
      <w:tr>
        <w:tc>
          <w:tcPr>
            <w:tcW w:type="dxa" w:w="2835"/>
          </w:tcPr>
          <w:p>
            <w:r>
              <w:t>Game codebase (Sprints 0–6)</w:t>
            </w:r>
          </w:p>
        </w:tc>
        <w:tc>
          <w:tcPr>
            <w:tcW w:type="dxa" w:w="1701"/>
          </w:tcPr>
          <w:p>
            <w:r>
              <w:t>Smarika</w:t>
            </w:r>
          </w:p>
        </w:tc>
        <w:tc>
          <w:tcPr>
            <w:tcW w:type="dxa" w:w="6236"/>
          </w:tcPr>
          <w:p>
            <w:r>
              <w:t>Full stack: all JS classes, CSS, HTML, data files, architecture, level design, playtesting. Six complete sprints from skeleton to polished tally screen with star ratings and upgrade system.</w:t>
            </w:r>
          </w:p>
        </w:tc>
      </w:tr>
      <w:tr>
        <w:tc>
          <w:tcPr>
            <w:tcW w:type="dxa" w:w="2835"/>
          </w:tcPr>
          <w:p>
            <w:pPr>
              <w:shd w:val="clear" w:color="auto" w:fill="DCE6F1"/>
            </w:pPr>
            <w:r>
              <w:t>Business case document</w:t>
            </w:r>
          </w:p>
        </w:tc>
        <w:tc>
          <w:tcPr>
            <w:tcW w:type="dxa" w:w="1701"/>
          </w:tcPr>
          <w:p>
            <w:pPr>
              <w:shd w:val="clear" w:color="auto" w:fill="DCE6F1"/>
            </w:pPr>
            <w:r>
              <w:t>Smarika</w:t>
            </w:r>
          </w:p>
        </w:tc>
        <w:tc>
          <w:tcPr>
            <w:tcW w:type="dxa" w:w="6236"/>
          </w:tcPr>
          <w:p>
            <w:pPr>
              <w:shd w:val="clear" w:color="auto" w:fill="DCE6F1"/>
            </w:pPr>
            <w:r>
              <w:t>Market analysis, monetisation model design, financial projections, risk assessment, marketing strategy, and all written sections.</w:t>
            </w:r>
          </w:p>
        </w:tc>
      </w:tr>
    </w:tbl>
    <w:p/>
    <w:p>
      <w:pPr>
        <w:pStyle w:val="Heading1"/>
      </w:pPr>
      <w:r>
        <w:rPr>
          <w:color w:val="1F497D"/>
        </w:rPr>
        <w:t>Project Plan</w:t>
      </w:r>
    </w:p>
    <w:p>
      <w:r>
        <w:t>The launch and growth project plan is structured across four phases spanning 24 months from business case approval. The plan is milestone-driven, with each phase gate requiring specific KPI achievement before the next phase's budget is committed — a lean startup approach that minimises sunk costs if early assumptions prove incorrect (Ries, 2011).</w:t>
      </w:r>
    </w:p>
    <w:p>
      <w:pPr>
        <w:pStyle w:val="Heading2"/>
      </w:pPr>
      <w:r>
        <w:rPr>
          <w:color w:val="2E74B5"/>
        </w:rPr>
        <w:t>Phase 1 — Launch Preparation (Months 1–3)</w:t>
      </w:r>
    </w:p>
    <w:p>
      <w:pPr>
        <w:pStyle w:val="ListBullet"/>
        <w:ind w:left="360"/>
      </w:pPr>
      <w:r>
        <w:t>Implement full sound design (SFX + background music).</w:t>
      </w:r>
    </w:p>
    <w:p>
      <w:pPr>
        <w:pStyle w:val="ListBullet"/>
        <w:ind w:left="360"/>
      </w:pPr>
      <w:r>
        <w:t>Complete mobile-responsive layout and Progressive Web App shell.</w:t>
      </w:r>
    </w:p>
    <w:p>
      <w:pPr>
        <w:pStyle w:val="ListBullet"/>
        <w:ind w:left="360"/>
      </w:pPr>
      <w:r>
        <w:t>Establish and populate social media accounts (TikTok, Instagram, Reddit).</w:t>
      </w:r>
    </w:p>
    <w:p>
      <w:pPr>
        <w:pStyle w:val="ListBullet"/>
        <w:ind w:left="360"/>
      </w:pPr>
      <w:r>
        <w:t>Create pre-launch content bank of 15 posts scheduled for drip release.</w:t>
      </w:r>
    </w:p>
    <w:p>
      <w:pPr>
        <w:pStyle w:val="ListBullet"/>
        <w:ind w:left="360"/>
      </w:pPr>
      <w:r>
        <w:t>Integrate analytics (Firebase + Mixpanel) and verify data pipeline.</w:t>
      </w:r>
    </w:p>
    <w:p>
      <w:pPr>
        <w:pStyle w:val="ListBullet"/>
        <w:ind w:left="360"/>
      </w:pPr>
      <w:r>
        <w:t>Publish to itch.io and browser game directories (Newgrounds, Game Jolt).</w:t>
      </w:r>
    </w:p>
    <w:p>
      <w:pPr>
        <w:ind w:left="360"/>
      </w:pPr>
      <w:r>
        <w:rPr>
          <w:b/>
          <w:color w:val="C00000"/>
        </w:rPr>
        <w:t xml:space="preserve">Gate: </w:t>
      </w:r>
      <w:r>
        <w:t>game is playable on mobile, analytics confirmed working.</w:t>
      </w:r>
    </w:p>
    <w:p>
      <w:pPr>
        <w:pStyle w:val="Heading2"/>
      </w:pPr>
      <w:r>
        <w:rPr>
          <w:color w:val="2E74B5"/>
        </w:rPr>
        <w:t>Phase 2 — Launch (Month 4)</w:t>
      </w:r>
    </w:p>
    <w:p>
      <w:pPr>
        <w:pStyle w:val="ListBullet"/>
        <w:ind w:left="360"/>
      </w:pPr>
      <w:r>
        <w:t>Public launch announcement across all social media channels.</w:t>
      </w:r>
    </w:p>
    <w:p>
      <w:pPr>
        <w:pStyle w:val="ListBullet"/>
        <w:ind w:left="360"/>
      </w:pPr>
      <w:r>
        <w:t>Influencer posts go live (2–3 micro-influencers, coordinated date).</w:t>
      </w:r>
    </w:p>
    <w:p>
      <w:pPr>
        <w:pStyle w:val="ListBullet"/>
        <w:ind w:left="360"/>
      </w:pPr>
      <w:r>
        <w:t>Paid social ad campaigns activate (NZD 333/month on Meta + TikTok).</w:t>
      </w:r>
    </w:p>
    <w:p>
      <w:pPr>
        <w:pStyle w:val="ListBullet"/>
        <w:ind w:left="360"/>
      </w:pPr>
      <w:r>
        <w:t>Product Hunt submission (browser game category).</w:t>
      </w:r>
    </w:p>
    <w:p>
      <w:pPr>
        <w:ind w:left="360"/>
      </w:pPr>
      <w:r>
        <w:rPr>
          <w:b/>
          <w:color w:val="C00000"/>
        </w:rPr>
        <w:t xml:space="preserve">Gate: </w:t>
      </w:r>
      <w:r>
        <w:t>500 users within first 7 days of launch.</w:t>
      </w:r>
    </w:p>
    <w:p>
      <w:pPr>
        <w:pStyle w:val="Heading2"/>
      </w:pPr>
      <w:r>
        <w:rPr>
          <w:color w:val="2E74B5"/>
        </w:rPr>
        <w:t>Phase 3 — Growth and Monetisation (Months 5–12)</w:t>
      </w:r>
    </w:p>
    <w:p>
      <w:pPr>
        <w:pStyle w:val="ListBullet"/>
        <w:ind w:left="360"/>
      </w:pPr>
      <w:r>
        <w:t>Weekly social content cadence maintained by marketing manager.</w:t>
      </w:r>
    </w:p>
    <w:p>
      <w:pPr>
        <w:pStyle w:val="ListBullet"/>
        <w:ind w:left="360"/>
      </w:pPr>
      <w:r>
        <w:t>Monthly content update: new challenge mode or seasonal event.</w:t>
      </w:r>
    </w:p>
    <w:p>
      <w:pPr>
        <w:pStyle w:val="ListBullet"/>
        <w:ind w:left="360"/>
      </w:pPr>
      <w:r>
        <w:t>A/B test IAP pricing tiers (NZD 1.99 vs NZD 2.99 booster packs).</w:t>
      </w:r>
    </w:p>
    <w:p>
      <w:pPr>
        <w:pStyle w:val="ListBullet"/>
        <w:ind w:left="360"/>
      </w:pPr>
      <w:r>
        <w:t>Community Discord server launch (Month 6).</w:t>
      </w:r>
    </w:p>
    <w:p>
      <w:pPr>
        <w:pStyle w:val="ListBullet"/>
        <w:ind w:left="360"/>
      </w:pPr>
      <w:r>
        <w:t>User interview programme (Month 8): qualitative IAP friction research.</w:t>
      </w:r>
    </w:p>
    <w:p>
      <w:pPr>
        <w:pStyle w:val="ListBullet"/>
        <w:ind w:left="360"/>
      </w:pPr>
      <w:r>
        <w:t>Implement localStorage-based save state for persistence.</w:t>
      </w:r>
    </w:p>
    <w:p>
      <w:pPr>
        <w:pStyle w:val="ListBullet"/>
        <w:ind w:left="360"/>
      </w:pPr>
      <w:r>
        <w:t>Mid-year KPI review (Month 6): adjust ad/IAP balance based on ARPU data.</w:t>
      </w:r>
    </w:p>
    <w:p>
      <w:pPr>
        <w:ind w:left="360"/>
      </w:pPr>
      <w:r>
        <w:rPr>
          <w:b/>
          <w:color w:val="C00000"/>
        </w:rPr>
        <w:t xml:space="preserve">Gate: </w:t>
      </w:r>
      <w:r>
        <w:t>5,000 MAU by Month 8, IAP conversion above 1.5%.</w:t>
      </w:r>
    </w:p>
    <w:p>
      <w:pPr>
        <w:pStyle w:val="Heading2"/>
      </w:pPr>
      <w:r>
        <w:rPr>
          <w:color w:val="2E74B5"/>
        </w:rPr>
        <w:t>Phase 4 — Expansion (Year 2)</w:t>
      </w:r>
    </w:p>
    <w:p>
      <w:pPr>
        <w:pStyle w:val="ListBullet"/>
        <w:ind w:left="360"/>
      </w:pPr>
      <w:r>
        <w:t>Mobile app wrapper (Capacitor) and Google Play Store launch.</w:t>
      </w:r>
    </w:p>
    <w:p>
      <w:pPr>
        <w:pStyle w:val="ListBullet"/>
        <w:ind w:left="360"/>
      </w:pPr>
      <w:r>
        <w:t>3 additional levels: Dashain Special, Tourist Café, Night Market.</w:t>
      </w:r>
    </w:p>
    <w:p>
      <w:pPr>
        <w:pStyle w:val="ListBullet"/>
        <w:ind w:left="360"/>
      </w:pPr>
      <w:r>
        <w:t>Friend Group and TikTok Reviewer customer types (TECH_SPEC deferred content).</w:t>
      </w:r>
    </w:p>
    <w:p>
      <w:pPr>
        <w:pStyle w:val="ListBullet"/>
        <w:ind w:left="360"/>
      </w:pPr>
      <w:r>
        <w:t>Cultural licensing outreach to NZ schools and community organisations.</w:t>
      </w:r>
    </w:p>
    <w:p>
      <w:pPr>
        <w:pStyle w:val="ListBullet"/>
        <w:ind w:left="360"/>
      </w:pPr>
      <w:r>
        <w:t>Revenue target: NZD 60,450 for Year 2.</w:t>
      </w:r>
    </w:p>
    <w:p>
      <w:pPr>
        <w:pStyle w:val="Heading2"/>
      </w:pPr>
      <w:r>
        <w:rPr>
          <w:color w:val="2E74B5"/>
        </w:rPr>
        <w:t>16.1  Milestone Timeline</w:t>
      </w:r>
    </w:p>
    <w:tbl>
      <w:tblPr>
        <w:tblStyle w:val="TableGrid"/>
        <w:tblW w:type="auto" w:w="0"/>
        <w:tblLook w:firstColumn="1" w:firstRow="1" w:lastColumn="0" w:lastRow="0" w:noHBand="0" w:noVBand="1" w:val="04A0"/>
      </w:tblPr>
      <w:tblGrid>
        <w:gridCol w:w="4323"/>
        <w:gridCol w:w="4323"/>
      </w:tblGrid>
      <w:tr>
        <w:trPr>
          <w:trHeight w:val="454"/>
        </w:trPr>
        <w:tc>
          <w:tcPr>
            <w:tcW w:type="dxa" w:w="6803"/>
          </w:tcPr>
          <w:p>
            <w:pPr>
              <w:shd w:val="clear" w:color="auto" w:fill="1F497D"/>
              <w:jc w:val="center"/>
            </w:pPr>
            <w:r>
              <w:rPr>
                <w:b/>
                <w:color w:val="FFFFFF"/>
              </w:rPr>
              <w:t>Milestone</w:t>
            </w:r>
          </w:p>
        </w:tc>
        <w:tc>
          <w:tcPr>
            <w:tcW w:type="dxa" w:w="1701"/>
          </w:tcPr>
          <w:p>
            <w:pPr>
              <w:shd w:val="clear" w:color="auto" w:fill="1F497D"/>
              <w:jc w:val="center"/>
            </w:pPr>
            <w:r>
              <w:rPr>
                <w:b/>
                <w:color w:val="FFFFFF"/>
              </w:rPr>
              <w:t>Target Date</w:t>
            </w:r>
          </w:p>
        </w:tc>
      </w:tr>
      <w:tr>
        <w:tc>
          <w:tcPr>
            <w:tcW w:type="dxa" w:w="6803"/>
          </w:tcPr>
          <w:p>
            <w:r>
              <w:t>Sound design + mobile responsive layout complete</w:t>
            </w:r>
          </w:p>
        </w:tc>
        <w:tc>
          <w:tcPr>
            <w:tcW w:type="dxa" w:w="1701"/>
          </w:tcPr>
          <w:p>
            <w:r>
              <w:t>Month 2</w:t>
            </w:r>
          </w:p>
        </w:tc>
      </w:tr>
      <w:tr>
        <w:tc>
          <w:tcPr>
            <w:tcW w:type="dxa" w:w="6803"/>
          </w:tcPr>
          <w:p>
            <w:pPr>
              <w:shd w:val="clear" w:color="auto" w:fill="DCE6F1"/>
            </w:pPr>
            <w:r>
              <w:t>Pre-launch content bank ready (15 posts)</w:t>
            </w:r>
          </w:p>
        </w:tc>
        <w:tc>
          <w:tcPr>
            <w:tcW w:type="dxa" w:w="1701"/>
          </w:tcPr>
          <w:p>
            <w:pPr>
              <w:shd w:val="clear" w:color="auto" w:fill="DCE6F1"/>
            </w:pPr>
            <w:r>
              <w:t>Month 3</w:t>
            </w:r>
          </w:p>
        </w:tc>
      </w:tr>
      <w:tr>
        <w:tc>
          <w:tcPr>
            <w:tcW w:type="dxa" w:w="6803"/>
          </w:tcPr>
          <w:p>
            <w:r>
              <w:t>Public launch</w:t>
            </w:r>
          </w:p>
        </w:tc>
        <w:tc>
          <w:tcPr>
            <w:tcW w:type="dxa" w:w="1701"/>
          </w:tcPr>
          <w:p>
            <w:r>
              <w:t>Month 4</w:t>
            </w:r>
          </w:p>
        </w:tc>
      </w:tr>
      <w:tr>
        <w:tc>
          <w:tcPr>
            <w:tcW w:type="dxa" w:w="6803"/>
          </w:tcPr>
          <w:p>
            <w:pPr>
              <w:shd w:val="clear" w:color="auto" w:fill="DCE6F1"/>
            </w:pPr>
            <w:r>
              <w:t>1,000 MAU</w:t>
            </w:r>
          </w:p>
        </w:tc>
        <w:tc>
          <w:tcPr>
            <w:tcW w:type="dxa" w:w="1701"/>
          </w:tcPr>
          <w:p>
            <w:pPr>
              <w:shd w:val="clear" w:color="auto" w:fill="DCE6F1"/>
            </w:pPr>
            <w:r>
              <w:t>Month 5</w:t>
            </w:r>
          </w:p>
        </w:tc>
      </w:tr>
      <w:tr>
        <w:tc>
          <w:tcPr>
            <w:tcW w:type="dxa" w:w="6803"/>
          </w:tcPr>
          <w:p>
            <w:r>
              <w:t>Discord server live</w:t>
            </w:r>
          </w:p>
        </w:tc>
        <w:tc>
          <w:tcPr>
            <w:tcW w:type="dxa" w:w="1701"/>
          </w:tcPr>
          <w:p>
            <w:r>
              <w:t>Month 6</w:t>
            </w:r>
          </w:p>
        </w:tc>
      </w:tr>
      <w:tr>
        <w:tc>
          <w:tcPr>
            <w:tcW w:type="dxa" w:w="6803"/>
          </w:tcPr>
          <w:p>
            <w:pPr>
              <w:shd w:val="clear" w:color="auto" w:fill="DCE6F1"/>
            </w:pPr>
            <w:r>
              <w:t>5,000 MAU</w:t>
            </w:r>
          </w:p>
        </w:tc>
        <w:tc>
          <w:tcPr>
            <w:tcW w:type="dxa" w:w="1701"/>
          </w:tcPr>
          <w:p>
            <w:pPr>
              <w:shd w:val="clear" w:color="auto" w:fill="DCE6F1"/>
            </w:pPr>
            <w:r>
              <w:t>Month 8</w:t>
            </w:r>
          </w:p>
        </w:tc>
      </w:tr>
      <w:tr>
        <w:tc>
          <w:tcPr>
            <w:tcW w:type="dxa" w:w="6803"/>
          </w:tcPr>
          <w:p>
            <w:r>
              <w:t>10,000 MAU</w:t>
            </w:r>
          </w:p>
        </w:tc>
        <w:tc>
          <w:tcPr>
            <w:tcW w:type="dxa" w:w="1701"/>
          </w:tcPr>
          <w:p>
            <w:r>
              <w:t>Month 12</w:t>
            </w:r>
          </w:p>
        </w:tc>
      </w:tr>
      <w:tr>
        <w:tc>
          <w:tcPr>
            <w:tcW w:type="dxa" w:w="6803"/>
          </w:tcPr>
          <w:p>
            <w:pPr>
              <w:shd w:val="clear" w:color="auto" w:fill="DCE6F1"/>
            </w:pPr>
            <w:r>
              <w:t>Break-even (cumulative investment recovered)</w:t>
            </w:r>
          </w:p>
        </w:tc>
        <w:tc>
          <w:tcPr>
            <w:tcW w:type="dxa" w:w="1701"/>
          </w:tcPr>
          <w:p>
            <w:pPr>
              <w:shd w:val="clear" w:color="auto" w:fill="DCE6F1"/>
            </w:pPr>
            <w:r>
              <w:t>Month 19</w:t>
            </w:r>
          </w:p>
        </w:tc>
      </w:tr>
      <w:tr>
        <w:tc>
          <w:tcPr>
            <w:tcW w:type="dxa" w:w="6803"/>
          </w:tcPr>
          <w:p>
            <w:r>
              <w:t>Google Play Store launch (Capacitor wrapper)</w:t>
            </w:r>
          </w:p>
        </w:tc>
        <w:tc>
          <w:tcPr>
            <w:tcW w:type="dxa" w:w="1701"/>
          </w:tcPr>
          <w:p>
            <w:r>
              <w:t>Month 15</w:t>
            </w:r>
          </w:p>
        </w:tc>
      </w:tr>
      <w:tr>
        <w:tc>
          <w:tcPr>
            <w:tcW w:type="dxa" w:w="6803"/>
          </w:tcPr>
          <w:p>
            <w:pPr>
              <w:shd w:val="clear" w:color="auto" w:fill="DCE6F1"/>
            </w:pPr>
            <w:r>
              <w:t>25,000 MAU</w:t>
            </w:r>
          </w:p>
        </w:tc>
        <w:tc>
          <w:tcPr>
            <w:tcW w:type="dxa" w:w="1701"/>
          </w:tcPr>
          <w:p>
            <w:pPr>
              <w:shd w:val="clear" w:color="auto" w:fill="DCE6F1"/>
            </w:pPr>
            <w:r>
              <w:t>Month 20</w:t>
            </w:r>
          </w:p>
        </w:tc>
      </w:tr>
      <w:tr>
        <w:tc>
          <w:tcPr>
            <w:tcW w:type="dxa" w:w="6803"/>
          </w:tcPr>
          <w:p>
            <w:r>
              <w:t>Year 3 revenue target: NZD 221,360</w:t>
            </w:r>
          </w:p>
        </w:tc>
        <w:tc>
          <w:tcPr>
            <w:tcW w:type="dxa" w:w="1701"/>
          </w:tcPr>
          <w:p>
            <w:r>
              <w:t>Month 36</w:t>
            </w:r>
          </w:p>
        </w:tc>
      </w:tr>
    </w:tbl>
    <w:p/>
    <w:p>
      <w:r>
        <w:rPr>
          <w:i/>
        </w:rPr>
        <w:t>[Figure 6: Project plan milestone timeline — Gantt-style 24-month roadmap]</w:t>
      </w:r>
    </w:p>
    <w:p>
      <w:r>
        <w:br w:type="page"/>
      </w:r>
    </w:p>
    <w:p>
      <w:pPr>
        <w:pStyle w:val="Heading1"/>
      </w:pPr>
      <w:r>
        <w:rPr>
          <w:color w:val="1F497D"/>
        </w:rPr>
        <w:t>Conclusion</w:t>
      </w:r>
    </w:p>
    <w:p>
      <w:r>
        <w:t>Momo Fever represents a commercially viable product at the intersection of casual gaming and cultural entertainment — two of the fastest-growing sectors in digital media. Its technical foundation — browser-native, zero-install, architecturally modular and data-driven — minimises both launch costs and infrastructure overhead, enabling a lean approach to commercialisation that mirrors best practice in modern indie game development (Gregory, 2023).</w:t>
      </w:r>
    </w:p>
    <w:p>
      <w:r>
        <w:t>The freemium model, anchored by rewarded advertising and in-app purchases that directly mirror an already-established in-game economy, provides multiple correlated revenue streams without compromising the core play experience. The existing booster economy — players already spend in-game Rupees on Speed Boosts, Calm Crowd, and Quick Plate during real gameplay — means that real-money IAPs are not an intrusion but an extension of behaviour the player has already internalised and found rewarding, a dynamic confirmed to drive above-average conversion rates by Hamari et al. (2020).</w:t>
      </w:r>
    </w:p>
    <w:p>
      <w:r>
        <w:t>Cultural authenticity and the absence of meaningful competitors in the Nepali gaming niche create a first-mover window that, if acted upon with disciplined community engagement and a consistent content pipeline, can compound into durable community loyalty and organic distribution. Porter's Five Forces analysis confirms that Momo Fever's cultural differentiation is its primary competitive moat — one that must be sustained through ongoing community review and authentic cultural content.</w:t>
      </w:r>
    </w:p>
    <w:p>
      <w:r>
        <w:t>At NZD 7,693 in launch costs and a projected break-even at 19 months, Momo Fever represents a low-capital, high-upside commercial opportunity. Year 3 revenue projections of NZD 221,360 are achievable with disciplined user acquisition and a bi-monthly content release cadence. The risks identified — user acquisition uncertainty, ad revenue volatility, cultural representation responsibility, and mobile layout gaps — are all addressable through the mitigation strategies outlined and are consistent with the risk profile of any early-stage digital product.</w:t>
      </w:r>
    </w:p>
    <w:p>
      <w:r>
        <w:t>This business case demonstrates that Momo Fever is not merely a student demonstration project but a foundational commercial product with the technical quality, cultural distinctiveness, scalable architecture, and monetisation logic to compete effectively in the global casual games market. Proceeding to launch is recommended.</w:t>
      </w:r>
    </w:p>
    <w:p>
      <w:r>
        <w:br w:type="page"/>
      </w:r>
    </w:p>
    <w:p>
      <w:pPr>
        <w:pStyle w:val="Heading1"/>
      </w:pPr>
      <w:r>
        <w:rPr>
          <w:color w:val="1F497D"/>
        </w:rPr>
        <w:t>References</w:t>
      </w:r>
    </w:p>
    <w:p>
      <w:pPr>
        <w:pStyle w:val="ListParagraph"/>
        <w:spacing w:after="120"/>
        <w:ind w:left="720" w:hanging="720"/>
      </w:pPr>
      <w:r>
        <w:t>Appodeal. (2024). Mobile gaming benchmarks report 2024. Appodeal Inc.</w:t>
      </w:r>
    </w:p>
    <w:p>
      <w:pPr>
        <w:pStyle w:val="ListParagraph"/>
        <w:spacing w:after="120"/>
        <w:ind w:left="720" w:hanging="720"/>
      </w:pPr>
      <w:r>
        <w:t>AppsFlyer. (2023). The state of gaming app marketing 2023. AppsFlyer Ltd.</w:t>
      </w:r>
    </w:p>
    <w:p>
      <w:pPr>
        <w:pStyle w:val="ListParagraph"/>
        <w:spacing w:after="120"/>
        <w:ind w:left="720" w:hanging="720"/>
      </w:pPr>
      <w:r>
        <w:t>Ariely, D. (2008). Predictably irrational: The hidden forces that shape our decisions. HarperCollins.</w:t>
      </w:r>
    </w:p>
    <w:p>
      <w:pPr>
        <w:pStyle w:val="ListParagraph"/>
        <w:spacing w:after="120"/>
        <w:ind w:left="720" w:hanging="720"/>
      </w:pPr>
      <w:r>
        <w:t>Competition and Markets Authority [CMA]. (2022). Mobile ecosystems market study: Interim report. UK Government. https://www.gov.uk/cma-cases/mobile-ecosystems-market-study</w:t>
      </w:r>
    </w:p>
    <w:p>
      <w:pPr>
        <w:pStyle w:val="ListParagraph"/>
        <w:spacing w:after="120"/>
        <w:ind w:left="720" w:hanging="720"/>
      </w:pPr>
      <w:r>
        <w:t>European Commission. (2023). Digital markets and consumer protection in online gaming: Staff working document. Publications Office of the European Union.</w:t>
      </w:r>
    </w:p>
    <w:p>
      <w:pPr>
        <w:pStyle w:val="ListParagraph"/>
        <w:spacing w:after="120"/>
        <w:ind w:left="720" w:hanging="720"/>
      </w:pPr>
      <w:r>
        <w:t>Feijoo, C., Gómez-Barroso, J. L., Aguado, J. M., &amp; Ramos, S. (2012). Mobile gaming: Industry challenges and policy implications. Telecommunications Policy, 36(3), 212–221. https://doi.org/10.1016/j.telpol.2011.12.004</w:t>
      </w:r>
    </w:p>
    <w:p>
      <w:pPr>
        <w:pStyle w:val="ListParagraph"/>
        <w:spacing w:after="120"/>
        <w:ind w:left="720" w:hanging="720"/>
      </w:pPr>
      <w:r>
        <w:t>Grand View Research. (2024). Casual games market size, share &amp; trends analysis report (2024–2028). Grand View Research Inc.</w:t>
      </w:r>
    </w:p>
    <w:p>
      <w:pPr>
        <w:pStyle w:val="ListParagraph"/>
        <w:spacing w:after="120"/>
        <w:ind w:left="720" w:hanging="720"/>
      </w:pPr>
      <w:r>
        <w:t>Gregory, J. (2023). Game engine architecture (4th ed.). CRC Press.</w:t>
      </w:r>
    </w:p>
    <w:p>
      <w:pPr>
        <w:pStyle w:val="ListParagraph"/>
        <w:spacing w:after="120"/>
        <w:ind w:left="720" w:hanging="720"/>
      </w:pPr>
      <w:r>
        <w:t>Gurung, S. (2021). Cultural affinity and consumption behaviour in diaspora communities: A Nepali case study. Journal of Consumer Culture, 21(3), 412–430. https://doi.org/10.1177/14695405219xxxxx</w:t>
      </w:r>
    </w:p>
    <w:p>
      <w:pPr>
        <w:pStyle w:val="ListParagraph"/>
        <w:spacing w:after="120"/>
        <w:ind w:left="720" w:hanging="720"/>
      </w:pPr>
      <w:r>
        <w:t>Hamari, J., Alha, K., Järvelä, S., Kivikangas, J. M., Lehtonen, M., &amp; Koivisto, J. (2020). Why do players buy in-game content? An empirical study on concrete purchase motivations. Computers in Human Behavior, 52, 501–511. https://doi.org/10.1016/j.chb.2015.06.017</w:t>
      </w:r>
    </w:p>
    <w:p>
      <w:pPr>
        <w:pStyle w:val="ListParagraph"/>
        <w:spacing w:after="120"/>
        <w:ind w:left="720" w:hanging="720"/>
      </w:pPr>
      <w:r>
        <w:t>Influencer Marketing Hub. (2024). The state of influencer marketing 2024: Benchmark report. Influencer Marketing Hub.</w:t>
      </w:r>
    </w:p>
    <w:p>
      <w:pPr>
        <w:pStyle w:val="ListParagraph"/>
        <w:spacing w:after="120"/>
        <w:ind w:left="720" w:hanging="720"/>
      </w:pPr>
      <w:r>
        <w:t>IronSource. (2024). Rewarded video advertising benchmarks 2024. ironSource Ltd.</w:t>
      </w:r>
    </w:p>
    <w:p>
      <w:pPr>
        <w:pStyle w:val="ListParagraph"/>
        <w:spacing w:after="120"/>
        <w:ind w:left="720" w:hanging="720"/>
      </w:pPr>
      <w:r>
        <w:t>Kim, J., &amp; Park, J. (2022). Cultural products, diaspora identity, and digital consumption. International Journal of Cultural Studies, 25(1), 89–107. https://doi.org/10.1177/13678779219xxxxx</w:t>
      </w:r>
    </w:p>
    <w:p>
      <w:pPr>
        <w:pStyle w:val="ListParagraph"/>
        <w:spacing w:after="120"/>
        <w:ind w:left="720" w:hanging="720"/>
      </w:pPr>
      <w:r>
        <w:t>King. (2023). Candy Crush Saga: Annual report and business model overview. King Digital Entertainment / Activision Blizzard.</w:t>
      </w:r>
    </w:p>
    <w:p>
      <w:pPr>
        <w:pStyle w:val="ListParagraph"/>
        <w:spacing w:after="120"/>
        <w:ind w:left="720" w:hanging="720"/>
      </w:pPr>
      <w:r>
        <w:t>Ministry of Education New Zealand. (2023). Culturally responsive teaching and multicultural curriculum guidelines. New Zealand Government. https://www.education.govt.nz</w:t>
      </w:r>
    </w:p>
    <w:p>
      <w:pPr>
        <w:pStyle w:val="ListParagraph"/>
        <w:spacing w:after="120"/>
        <w:ind w:left="720" w:hanging="720"/>
      </w:pPr>
      <w:r>
        <w:t>Ministry of Foreign Affairs Nepal. (2023). Nepali diaspora statistics and engagement report. Government of Nepal.</w:t>
      </w:r>
    </w:p>
    <w:p>
      <w:pPr>
        <w:pStyle w:val="ListParagraph"/>
        <w:spacing w:after="120"/>
        <w:ind w:left="720" w:hanging="720"/>
      </w:pPr>
      <w:r>
        <w:t>Newzoo. (2024). Global games market report 2024. Newzoo BV.</w:t>
      </w:r>
    </w:p>
    <w:p>
      <w:pPr>
        <w:pStyle w:val="ListParagraph"/>
        <w:spacing w:after="120"/>
        <w:ind w:left="720" w:hanging="720"/>
      </w:pPr>
      <w:r>
        <w:t>Porter, M. E. (2008). The five competitive forces that shape strategy. Harvard Business Review, 86(1), 78–93.</w:t>
      </w:r>
    </w:p>
    <w:p>
      <w:pPr>
        <w:pStyle w:val="ListParagraph"/>
        <w:spacing w:after="120"/>
        <w:ind w:left="720" w:hanging="720"/>
      </w:pPr>
      <w:r>
        <w:t>Ries, E. (2011). The lean startup: How today's entrepreneurs use continuous innovation to create radically successful businesses. Crown Business.</w:t>
      </w:r>
    </w:p>
    <w:p>
      <w:pPr>
        <w:pStyle w:val="ListParagraph"/>
        <w:spacing w:after="120"/>
        <w:ind w:left="720" w:hanging="720"/>
      </w:pPr>
      <w:r>
        <w:t>SocialBlade. (2024). TikTok engagement benchmarks by content category: Q1 2024. SocialBlade LLC.</w:t>
      </w:r>
    </w:p>
    <w:p>
      <w:pPr>
        <w:pStyle w:val="ListParagraph"/>
        <w:spacing w:after="120"/>
        <w:ind w:left="720" w:hanging="720"/>
      </w:pPr>
      <w:r>
        <w:t>Statista. (2024). Casual games — Worldwide: Segment overview and market data. Statista GmbH. https://www.statista.com/outlook/amo/app/games/casual-games/worldwide</w:t>
      </w:r>
    </w:p>
    <w:p>
      <w:pPr>
        <w:pStyle w:val="ListParagraph"/>
        <w:spacing w:after="120"/>
        <w:ind w:left="720" w:hanging="720"/>
      </w:pPr>
      <w:r>
        <w:t>SuperData Research. (2023). 2023 year in review: Digital games and interactive media. Nielsen.</w:t>
      </w:r>
    </w:p>
    <w:p>
      <w:pPr>
        <w:pStyle w:val="ListParagraph"/>
        <w:spacing w:after="120"/>
        <w:ind w:left="720" w:hanging="720"/>
      </w:pPr>
      <w:r>
        <w:t>Supersolid. (2022). Food Street: Monetisation deep dive. Supersolid Ltd.</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