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A6052" w:rsidRDefault="00F368DB" w14:paraId="07B66F10" w14:textId="13C6AF44">
      <w:r>
        <w:rPr>
          <w:noProof/>
        </w:rPr>
        <w:drawing>
          <wp:anchor distT="0" distB="0" distL="114300" distR="114300" simplePos="0" relativeHeight="251658241" behindDoc="1" locked="0" layoutInCell="1" allowOverlap="1" wp14:anchorId="316D5FA3" wp14:editId="6D61E8A9">
            <wp:simplePos x="0" y="0"/>
            <wp:positionH relativeFrom="page">
              <wp:align>left</wp:align>
            </wp:positionH>
            <wp:positionV relativeFrom="paragraph">
              <wp:posOffset>-914400</wp:posOffset>
            </wp:positionV>
            <wp:extent cx="7537450" cy="10674350"/>
            <wp:effectExtent l="0" t="0" r="6350" b="0"/>
            <wp:wrapNone/>
            <wp:docPr id="1083859946" name="Imagen 4"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9946" name="Imagen 4" descr="Logotipo  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7450" cy="10674350"/>
                    </a:xfrm>
                    <a:prstGeom prst="rect">
                      <a:avLst/>
                    </a:prstGeom>
                  </pic:spPr>
                </pic:pic>
              </a:graphicData>
            </a:graphic>
            <wp14:sizeRelH relativeFrom="page">
              <wp14:pctWidth>0</wp14:pctWidth>
            </wp14:sizeRelH>
            <wp14:sizeRelV relativeFrom="page">
              <wp14:pctHeight>0</wp14:pctHeight>
            </wp14:sizeRelV>
          </wp:anchor>
        </w:drawing>
      </w:r>
    </w:p>
    <w:p w:rsidR="000A6052" w:rsidRDefault="000A6052" w14:paraId="7CCF7C18" w14:textId="77777777"/>
    <w:p w:rsidR="000A6052" w:rsidRDefault="000A6052" w14:paraId="3ED8A944" w14:textId="12291BE8"/>
    <w:p w:rsidR="000A6052" w:rsidRDefault="000A6052" w14:paraId="18E27BFC" w14:textId="77777777"/>
    <w:p w:rsidR="000A6052" w:rsidRDefault="000A6052" w14:paraId="43BB23B3" w14:textId="77777777"/>
    <w:p w:rsidR="000A6052" w:rsidRDefault="000A6052" w14:paraId="7D5569DB" w14:textId="23DB117C"/>
    <w:p w:rsidR="000A6052" w:rsidRDefault="000A6052" w14:paraId="50CB02F9" w14:textId="5C46B7FC"/>
    <w:p w:rsidR="000A6052" w:rsidRDefault="000A6052" w14:paraId="173DF396" w14:textId="77777777"/>
    <w:p w:rsidR="000A6052" w:rsidRDefault="000A6052" w14:paraId="3EB66EE6" w14:textId="77777777"/>
    <w:p w:rsidR="000A6052" w:rsidRDefault="000A6052" w14:paraId="77C94A3D" w14:textId="77777777"/>
    <w:p w:rsidR="000A6052" w:rsidRDefault="000A6052" w14:paraId="0031FA74" w14:textId="04402347"/>
    <w:p w:rsidR="000A6052" w:rsidRDefault="000A6052" w14:paraId="1861E406" w14:textId="77777777"/>
    <w:p w:rsidR="000A6052" w:rsidRDefault="000A6052" w14:paraId="7E757047" w14:textId="3890C8E0"/>
    <w:p w:rsidR="000A6052" w:rsidRDefault="00F368DB" w14:paraId="7A61418A" w14:textId="468414BF">
      <w:r>
        <w:rPr>
          <w:noProof/>
        </w:rPr>
        <mc:AlternateContent>
          <mc:Choice Requires="wps">
            <w:drawing>
              <wp:anchor distT="45720" distB="45720" distL="114300" distR="114300" simplePos="0" relativeHeight="251658242" behindDoc="0" locked="0" layoutInCell="1" allowOverlap="1" wp14:anchorId="7366DEC3" wp14:editId="541CB44F">
                <wp:simplePos x="0" y="0"/>
                <wp:positionH relativeFrom="page">
                  <wp:align>right</wp:align>
                </wp:positionH>
                <wp:positionV relativeFrom="paragraph">
                  <wp:posOffset>5080</wp:posOffset>
                </wp:positionV>
                <wp:extent cx="330835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1404620"/>
                        </a:xfrm>
                        <a:prstGeom prst="rect">
                          <a:avLst/>
                        </a:prstGeom>
                        <a:noFill/>
                        <a:ln w="9525">
                          <a:noFill/>
                          <a:miter lim="800000"/>
                          <a:headEnd/>
                          <a:tailEnd/>
                        </a:ln>
                      </wps:spPr>
                      <wps:txbx>
                        <w:txbxContent>
                          <w:p w:rsidRPr="00F368DB" w:rsidR="00F368DB" w:rsidRDefault="00F368DB" w14:paraId="63429EB5" w14:textId="489C3F11">
                            <w:pPr>
                              <w:rPr>
                                <w:b/>
                                <w:bCs/>
                                <w:color w:val="31849B"/>
                                <w:sz w:val="36"/>
                                <w:szCs w:val="36"/>
                                <w:lang w:val="es-CL"/>
                              </w:rPr>
                            </w:pPr>
                            <w:r>
                              <w:rPr>
                                <w:b/>
                                <w:bCs/>
                                <w:color w:val="31849B"/>
                                <w:sz w:val="36"/>
                                <w:szCs w:val="36"/>
                                <w:lang w:val="es-CL"/>
                              </w:rPr>
                              <w:t>Instructivo cierre mensual de Dotación FTE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0A04FDB1">
              <v:shapetype id="_x0000_t202" coordsize="21600,21600" o:spt="202" path="m,l,21600r21600,l21600,xe" w14:anchorId="7366DEC3">
                <v:stroke joinstyle="miter"/>
                <v:path gradientshapeok="t" o:connecttype="rect"/>
              </v:shapetype>
              <v:shape id="Cuadro de texto 2" style="position:absolute;margin-left:209.3pt;margin-top:.4pt;width:260.5pt;height:110.6pt;z-index:25165824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Btqu+gEAAM4DAAAOAAAAZHJzL2Uyb0RvYy54bWysU8tu2zAQvBfoPxC815JfqSNYDtKkLgqk DyDtB9AUZRElueyStpR+fZeU4xjtragOBKnlzu7MDtc3gzXsqDBocDWfTkrOlJPQaLev+fdv2zcr zkIUrhEGnKr5kwr8ZvP61br3lZpBB6ZRyAjEhar3Ne9i9FVRBNkpK8IEvHIUbAGtiHTEfdGg6And mmJWlldFD9h4BKlCoL/3Y5BvMn7bKhm/tG1QkZmaU28xr5jXXVqLzVpUexS+0/LUhviHLqzQjoqe oe5FFOyA+i8oqyVCgDZOJNgC2lZLlTkQm2n5B5vHTniVuZA4wZ9lCv8PVn4+PvqvyOLwDgYaYCYR /APIH4E5uOuE26tbROg7JRoqPE2SFb0P1Sk1SR2qkEB2/SdoaMjiECEDDS3apArxZIROA3g6i66G yCT9nM/L1XxJIUmx6aJcXM3yWApRPad7DPGDAsvSpuZIU83w4vgQYmpHVM9XUjUHW21MnqxxrK/5 9XK2zAkXEasjGc9oW/NVmb7RConle9fk5Ci0GfdUwLgT7cR05ByH3UAXE/0dNE8kAMJoMHoQtOkA f3HWk7lqHn4eBCrOzEdHIl5PF4vkxnxYLN8SY4aXkd1lRDhJUDWPnI3bu5gdnLgGf0tib3WW4aWT U69kmqzOyeDJlZfnfOvlGW5+AwAA//8DAFBLAwQUAAYACAAAACEAm8LKLtkAAAAFAQAADwAAAGRy cy9kb3ducmV2LnhtbEyPzU7DMBCE70i8g7VI3KhdS/woxKkq1JYjUCLObrxNosZrK3bT8PYsJziO ZjTzTbma/SAmHFMfyMByoUAgNcH11BqoP7d3TyBStuTsEAgNfGOCVXV9VdrChQt94LTPreASSoU1 0OUcCylT06G3aREiEnvHMHqbWY6tdKO9cLkfpFbqQXrbEy90NuJLh81pf/YGYo67x9fx7X292U6q /trVum83xtzezOtnEBnn/BeGX3xGh4qZDuFMLonBAB/JBpievXu9ZHkwoLVWIKtS/qevfgAAAP// AwBQSwECLQAUAAYACAAAACEAtoM4kv4AAADhAQAAEwAAAAAAAAAAAAAAAAAAAAAAW0NvbnRlbnRf VHlwZXNdLnhtbFBLAQItABQABgAIAAAAIQA4/SH/1gAAAJQBAAALAAAAAAAAAAAAAAAAAC8BAABf cmVscy8ucmVsc1BLAQItABQABgAIAAAAIQAsBtqu+gEAAM4DAAAOAAAAAAAAAAAAAAAAAC4CAABk cnMvZTJvRG9jLnhtbFBLAQItABQABgAIAAAAIQCbwsou2QAAAAUBAAAPAAAAAAAAAAAAAAAAAFQE AABkcnMvZG93bnJldi54bWxQSwUGAAAAAAQABADzAAAAWgUAAAAA ">
                <v:textbox style="mso-fit-shape-to-text:t">
                  <w:txbxContent>
                    <w:p w:rsidRPr="00F368DB" w:rsidR="00F368DB" w:rsidRDefault="00F368DB" w14:paraId="0390FEC2" w14:textId="489C3F11">
                      <w:pPr>
                        <w:rPr>
                          <w:b/>
                          <w:bCs/>
                          <w:color w:val="31849B"/>
                          <w:sz w:val="36"/>
                          <w:szCs w:val="36"/>
                          <w:lang w:val="es-CL"/>
                        </w:rPr>
                      </w:pPr>
                      <w:r>
                        <w:rPr>
                          <w:b/>
                          <w:bCs/>
                          <w:color w:val="31849B"/>
                          <w:sz w:val="36"/>
                          <w:szCs w:val="36"/>
                          <w:lang w:val="es-CL"/>
                        </w:rPr>
                        <w:t>Instructivo cierre mensual de Dotación FTE</w:t>
                      </w:r>
                    </w:p>
                  </w:txbxContent>
                </v:textbox>
                <w10:wrap type="square" anchorx="page"/>
              </v:shape>
            </w:pict>
          </mc:Fallback>
        </mc:AlternateContent>
      </w:r>
    </w:p>
    <w:p w:rsidR="000A6052" w:rsidRDefault="000A6052" w14:paraId="001C572E" w14:textId="54A056CA"/>
    <w:p w:rsidR="000A6052" w:rsidRDefault="000A6052" w14:paraId="5A491F8E" w14:textId="4C85D353"/>
    <w:p w:rsidR="000A6052" w:rsidRDefault="000A6052" w14:paraId="424C6BFF" w14:textId="5527C340"/>
    <w:p w:rsidR="000A6052" w:rsidRDefault="000A6052" w14:paraId="08D7DC99" w14:textId="1705AE0A"/>
    <w:p w:rsidR="000A6052" w:rsidRDefault="000A6052" w14:paraId="5C368D95" w14:textId="3117E189"/>
    <w:p w:rsidR="000A6052" w:rsidRDefault="000A6052" w14:paraId="33E26938" w14:textId="6F86BD70"/>
    <w:p w:rsidR="000A6052" w:rsidRDefault="000A6052" w14:paraId="0FEB45E4" w14:textId="77777777"/>
    <w:p w:rsidR="000A6052" w:rsidRDefault="000A6052" w14:paraId="4FE4E650" w14:textId="41728C68"/>
    <w:p w:rsidR="000A6052" w:rsidRDefault="000A6052" w14:paraId="1B646488" w14:textId="0477A408"/>
    <w:p w:rsidR="000A6052" w:rsidRDefault="00D7016D" w14:paraId="7571643C" w14:textId="3674EB06">
      <w:r>
        <w:rPr>
          <w:noProof/>
        </w:rPr>
        <mc:AlternateContent>
          <mc:Choice Requires="wps">
            <w:drawing>
              <wp:anchor distT="45720" distB="45720" distL="114300" distR="114300" simplePos="0" relativeHeight="251658243" behindDoc="0" locked="0" layoutInCell="1" allowOverlap="1" wp14:anchorId="5A303BDF" wp14:editId="04432813">
                <wp:simplePos x="0" y="0"/>
                <wp:positionH relativeFrom="column">
                  <wp:posOffset>3479800</wp:posOffset>
                </wp:positionH>
                <wp:positionV relativeFrom="paragraph">
                  <wp:posOffset>139065</wp:posOffset>
                </wp:positionV>
                <wp:extent cx="1676400" cy="1365250"/>
                <wp:effectExtent l="0" t="0" r="0" b="6350"/>
                <wp:wrapSquare wrapText="bothSides"/>
                <wp:docPr id="12156544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365250"/>
                        </a:xfrm>
                        <a:prstGeom prst="rect">
                          <a:avLst/>
                        </a:prstGeom>
                        <a:noFill/>
                        <a:ln w="9525">
                          <a:noFill/>
                          <a:miter lim="800000"/>
                          <a:headEnd/>
                          <a:tailEnd/>
                        </a:ln>
                      </wps:spPr>
                      <wps:txbx>
                        <w:txbxContent>
                          <w:p w:rsidR="00D7016D" w:rsidP="00D7016D" w:rsidRDefault="00D7016D" w14:paraId="59F58832" w14:textId="3104D857">
                            <w:pPr>
                              <w:spacing w:before="240" w:after="240" w:line="240" w:lineRule="auto"/>
                              <w:textDirection w:val="btLr"/>
                            </w:pPr>
                            <w:r>
                              <w:rPr>
                                <w:color w:val="00778B"/>
                                <w:sz w:val="36"/>
                              </w:rPr>
                              <w:t>Febrero</w:t>
                            </w:r>
                          </w:p>
                          <w:p w:rsidR="00D7016D" w:rsidP="00D7016D" w:rsidRDefault="00D7016D" w14:paraId="3B76CACB" w14:textId="77777777">
                            <w:pPr>
                              <w:spacing w:before="240" w:after="240" w:line="240" w:lineRule="auto"/>
                              <w:textDirection w:val="btLr"/>
                            </w:pPr>
                            <w:r>
                              <w:rPr>
                                <w:color w:val="888B8D"/>
                                <w:sz w:val="80"/>
                              </w:rPr>
                              <w:t>2026</w:t>
                            </w:r>
                          </w:p>
                          <w:p w:rsidR="00D7016D" w:rsidRDefault="00D7016D" w14:paraId="3CCC467A" w14:textId="09482D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AA6118">
              <v:shape id="_x0000_s1027" style="position:absolute;margin-left:274pt;margin-top:10.95pt;width:132pt;height:10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n8go+gEAANUDAAAOAAAAZHJzL2Uyb0RvYy54bWysU8tu2zAQvBfoPxC815Jd20kEy0GaNEWB 9AGk/QCaoiyiJJdd0pbSr++SUhyjvRXVgeBqydmd2eHmerCGHRUGDa7m81nJmXISGu32Nf/+7f7N JWchCtcIA07V/EkFfr19/WrT+0otoAPTKGQE4kLV+5p3MfqqKILslBVhBl45SraAVkQKcV80KHpC t6ZYlOW66AEbjyBVCPT3bkzybcZvWyXjl7YNKjJTc+ot5hXzuktrsd2Iao/Cd1pObYh/6MIK7ajo CepORMEOqP+CsloiBGjjTIItoG21VJkDsZmXf7B57IRXmQuJE/xJpvD/YOXn46P/iiwO72CgAWYS wT+A/BGYg9tOuL26QYS+U6KhwvMkWdH7UE1Xk9ShCglk13+ChoYsDhEy0NCiTaoQT0boNICnk+hq iEymkuuL9bKklKTc/O16tVjlsRSier7uMcQPCixLm5ojTTXDi+NDiKkdUT0fSdUc3Gtj8mSNY33N rwgzXzjLWB3JeEbbml+W6RutkFi+d02+HIU2454KGDfRTkxHznHYDUw3kyZJhR00T6QDwugzehe0 6QB/cdaTx2oefh4EKs7MR0daXs2Xy2TKHCxXFwsK8DyzO88IJwmq5pGzcXsbs5FHyjekeauzGi+d TC2Td7JIk8+TOc/jfOrlNW5/AwAA//8DAFBLAwQUAAYACAAAACEA8QLfOd4AAAAKAQAADwAAAGRy cy9kb3ducmV2LnhtbEyPzU7DMBCE70i8g7VI3Kid0FZJGqdCIK4gyo/Umxtvk4h4HcVuE96e5USP Ozua+abczq4XZxxD50lDslAgkGpvO2o0fLw/32UgQjRkTe8JNfxggG11fVWawvqJ3vC8i43gEAqF 0dDGOBRShrpFZ8LCD0j8O/rRmcjn2Eg7monDXS9TpdbSmY64oTUDPrZYf+9OTsPny3H/tVSvzZNb DZOflSSXS61vb+aHDYiIc/w3wx8+o0PFTAd/IhtEr2G1zHhL1JAmOQg2ZEnKwoGF+3UOsirl5YTq FwAA//8DAFBLAQItABQABgAIAAAAIQC2gziS/gAAAOEBAAATAAAAAAAAAAAAAAAAAAAAAABbQ29u dGVudF9UeXBlc10ueG1sUEsBAi0AFAAGAAgAAAAhADj9If/WAAAAlAEAAAsAAAAAAAAAAAAAAAAA LwEAAF9yZWxzLy5yZWxzUEsBAi0AFAAGAAgAAAAhAOifyCj6AQAA1QMAAA4AAAAAAAAAAAAAAAAA LgIAAGRycy9lMm9Eb2MueG1sUEsBAi0AFAAGAAgAAAAhAPEC3zneAAAACgEAAA8AAAAAAAAAAAAA AAAAVAQAAGRycy9kb3ducmV2LnhtbFBLBQYAAAAABAAEAPMAAABfBQAAAAA= " w14:anchorId="5A303BDF">
                <v:textbox>
                  <w:txbxContent>
                    <w:p w:rsidR="00D7016D" w:rsidP="00D7016D" w:rsidRDefault="00D7016D" w14:paraId="42D1D4F6" w14:textId="3104D857">
                      <w:pPr>
                        <w:spacing w:before="240" w:after="240" w:line="240" w:lineRule="auto"/>
                        <w:textDirection w:val="btLr"/>
                      </w:pPr>
                      <w:r>
                        <w:rPr>
                          <w:color w:val="00778B"/>
                          <w:sz w:val="36"/>
                        </w:rPr>
                        <w:t>Febrero</w:t>
                      </w:r>
                    </w:p>
                    <w:p w:rsidR="00D7016D" w:rsidP="00D7016D" w:rsidRDefault="00D7016D" w14:paraId="4B169B85" w14:textId="77777777">
                      <w:pPr>
                        <w:spacing w:before="240" w:after="240" w:line="240" w:lineRule="auto"/>
                        <w:textDirection w:val="btLr"/>
                      </w:pPr>
                      <w:r>
                        <w:rPr>
                          <w:color w:val="888B8D"/>
                          <w:sz w:val="80"/>
                        </w:rPr>
                        <w:t>2026</w:t>
                      </w:r>
                    </w:p>
                    <w:p w:rsidR="00D7016D" w:rsidRDefault="00D7016D" w14:paraId="672A6659" w14:textId="09482D77"/>
                  </w:txbxContent>
                </v:textbox>
                <w10:wrap type="square"/>
              </v:shape>
            </w:pict>
          </mc:Fallback>
        </mc:AlternateContent>
      </w:r>
    </w:p>
    <w:p w:rsidR="000A6052" w:rsidRDefault="000A6052" w14:paraId="1A1F3FCB" w14:textId="0676B2CC"/>
    <w:p w:rsidR="000A6052" w:rsidRDefault="000A6052" w14:paraId="3BDF1B19" w14:textId="4E0BBFE7"/>
    <w:p w:rsidR="000A6052" w:rsidRDefault="000A6052" w14:paraId="791F6B71" w14:textId="3737CA8E"/>
    <w:p w:rsidR="000A6052" w:rsidRDefault="000A6052" w14:paraId="4569B454" w14:textId="20DF6D68"/>
    <w:p w:rsidR="000A6052" w:rsidRDefault="000A6052" w14:paraId="0337D21C" w14:textId="3D6B5699"/>
    <w:p w:rsidR="000A6052" w:rsidRDefault="000A6052" w14:paraId="0F843C9D" w14:textId="316496BC"/>
    <w:p w:rsidR="000A6052" w:rsidRDefault="000A6052" w14:paraId="5F160E9B" w14:textId="77777777"/>
    <w:p w:rsidR="000A6052" w:rsidRDefault="000A6052" w14:paraId="6C3B2A4C" w14:textId="77777777"/>
    <w:p w:rsidR="000A6052" w:rsidRDefault="000A6052" w14:paraId="34D28538" w14:textId="77777777"/>
    <w:p w:rsidR="000A6052" w:rsidRDefault="000A6052" w14:paraId="0B4D867F" w14:textId="77777777"/>
    <w:p w:rsidR="000A6052" w:rsidRDefault="000A6052" w14:paraId="382D5EC0" w14:textId="77777777"/>
    <w:p w:rsidR="000A6052" w:rsidRDefault="000A6052" w14:paraId="3F98B076" w14:textId="77777777"/>
    <w:p w:rsidR="000A6052" w:rsidRDefault="000A6052" w14:paraId="5FB667FF" w14:textId="77777777"/>
    <w:p w:rsidR="000A6052" w:rsidRDefault="000A6052" w14:paraId="73C08643" w14:textId="77777777"/>
    <w:p w:rsidR="000A6052" w:rsidRDefault="000A6052" w14:paraId="3BEBB65F" w14:textId="77777777"/>
    <w:p w:rsidR="000A6052" w:rsidRDefault="000A6052" w14:paraId="5CC02211" w14:textId="77777777"/>
    <w:p w:rsidR="000A6052" w:rsidRDefault="000A6052" w14:paraId="51E7D1EC" w14:textId="77777777"/>
    <w:p w:rsidR="000A6052" w:rsidRDefault="000A6052" w14:paraId="456D2C37" w14:textId="77777777"/>
    <w:p w:rsidR="000A6052" w:rsidRDefault="000A6052" w14:paraId="08461FE3" w14:textId="77777777"/>
    <w:p w:rsidR="000A6052" w:rsidRDefault="000A6052" w14:paraId="0541FC25" w14:textId="77777777"/>
    <w:p w:rsidR="000A6052" w:rsidRDefault="000A6052" w14:paraId="4F72BF27" w14:textId="77777777"/>
    <w:p w:rsidR="000A6052" w:rsidRDefault="000A6052" w14:paraId="001C1F5A" w14:textId="77777777"/>
    <w:p w:rsidR="000A6052" w:rsidRDefault="000A6052" w14:paraId="51EB6D8D" w14:textId="77777777"/>
    <w:p w:rsidR="000A6052" w:rsidRDefault="000A6052" w14:paraId="3714ACB2" w14:textId="77777777">
      <w:pPr>
        <w:spacing w:after="120" w:line="264" w:lineRule="auto"/>
        <w:jc w:val="both"/>
        <w:rPr>
          <w:rFonts w:ascii="Calibri" w:hAnsi="Calibri" w:eastAsia="Calibri" w:cs="Calibri"/>
        </w:rPr>
      </w:pPr>
    </w:p>
    <w:tbl>
      <w:tblPr>
        <w:tblStyle w:val="a"/>
        <w:tblpPr w:leftFromText="141" w:rightFromText="141" w:vertAnchor="text"/>
        <w:tblW w:w="8545"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065"/>
        <w:gridCol w:w="4320"/>
        <w:gridCol w:w="2160"/>
      </w:tblGrid>
      <w:tr w:rsidR="000A6052" w:rsidTr="51AA01F1" w14:paraId="13A3F54D" w14:textId="77777777">
        <w:trPr>
          <w:trHeight w:val="1243"/>
        </w:trPr>
        <w:tc>
          <w:tcPr>
            <w:tcW w:w="2065" w:type="dxa"/>
          </w:tcPr>
          <w:p w:rsidR="000A6052" w:rsidRDefault="00E6057B" w14:paraId="2F320906" w14:textId="77777777">
            <w:pPr>
              <w:jc w:val="both"/>
              <w:rPr>
                <w:rFonts w:ascii="Calibri" w:hAnsi="Calibri" w:eastAsia="Calibri" w:cs="Calibri"/>
                <w:b/>
                <w:bCs/>
                <w:color w:val="404040"/>
              </w:rPr>
            </w:pPr>
            <w:r>
              <w:rPr>
                <w:rFonts w:ascii="Calibri" w:hAnsi="Calibri" w:eastAsia="Calibri" w:cs="Calibri"/>
                <w:b/>
                <w:bCs/>
                <w:color w:val="31849B"/>
              </w:rPr>
              <w:t>ELABORADO POR:</w:t>
            </w:r>
          </w:p>
        </w:tc>
        <w:tc>
          <w:tcPr>
            <w:tcW w:w="4320" w:type="dxa"/>
          </w:tcPr>
          <w:p w:rsidR="000A6052" w:rsidRDefault="00E6057B" w14:paraId="2D90F549" w14:textId="77777777">
            <w:pPr>
              <w:jc w:val="both"/>
              <w:rPr>
                <w:rFonts w:ascii="Calibri" w:hAnsi="Calibri" w:eastAsia="Calibri" w:cs="Calibri"/>
                <w:b/>
                <w:bCs/>
                <w:color w:val="31849B"/>
              </w:rPr>
            </w:pPr>
            <w:r>
              <w:rPr>
                <w:rFonts w:ascii="Calibri" w:hAnsi="Calibri" w:eastAsia="Calibri" w:cs="Calibri"/>
                <w:b/>
                <w:bCs/>
                <w:color w:val="31849B"/>
              </w:rPr>
              <w:t>Melany Fuentes R.</w:t>
            </w:r>
          </w:p>
          <w:p w:rsidR="000A6052" w:rsidRDefault="00E6057B" w14:paraId="2D1EBDA6" w14:textId="77777777">
            <w:pPr>
              <w:jc w:val="both"/>
              <w:rPr>
                <w:rFonts w:ascii="Calibri" w:hAnsi="Calibri" w:eastAsia="Calibri" w:cs="Calibri"/>
                <w:color w:val="404040"/>
              </w:rPr>
            </w:pPr>
            <w:r>
              <w:rPr>
                <w:rFonts w:ascii="Calibri" w:hAnsi="Calibri" w:eastAsia="Calibri" w:cs="Calibri"/>
                <w:color w:val="404040"/>
              </w:rPr>
              <w:t>Especialista Gestión Servicios Terceros</w:t>
            </w:r>
          </w:p>
          <w:p w:rsidR="000A6052" w:rsidRDefault="00E6057B" w14:paraId="0F5E51C3" w14:textId="77777777">
            <w:pPr>
              <w:jc w:val="both"/>
              <w:rPr>
                <w:rFonts w:ascii="Calibri" w:hAnsi="Calibri" w:eastAsia="Calibri" w:cs="Calibri"/>
                <w:color w:val="404040"/>
              </w:rPr>
            </w:pPr>
            <w:r>
              <w:rPr>
                <w:rFonts w:ascii="Calibri" w:hAnsi="Calibri" w:eastAsia="Calibri" w:cs="Calibri"/>
                <w:color w:val="404040"/>
              </w:rPr>
              <w:t>Gerencia de Finanzas MLP</w:t>
            </w:r>
          </w:p>
          <w:p w:rsidR="000A6052" w:rsidRDefault="00E6057B" w14:paraId="3073721E" w14:textId="77777777">
            <w:pPr>
              <w:jc w:val="both"/>
              <w:rPr>
                <w:rFonts w:ascii="Calibri" w:hAnsi="Calibri" w:eastAsia="Calibri" w:cs="Calibri"/>
                <w:color w:val="404040"/>
              </w:rPr>
            </w:pPr>
            <w:r>
              <w:rPr>
                <w:rFonts w:ascii="Calibri" w:hAnsi="Calibri" w:eastAsia="Calibri" w:cs="Calibri"/>
                <w:color w:val="404040"/>
              </w:rPr>
              <w:t>2026</w:t>
            </w:r>
          </w:p>
          <w:p w:rsidR="000A6052" w:rsidRDefault="000A6052" w14:paraId="57EDBF4A" w14:textId="77777777">
            <w:pPr>
              <w:jc w:val="both"/>
              <w:rPr>
                <w:rFonts w:ascii="Calibri" w:hAnsi="Calibri" w:eastAsia="Calibri" w:cs="Calibri"/>
                <w:color w:val="404040"/>
              </w:rPr>
            </w:pPr>
          </w:p>
        </w:tc>
        <w:tc>
          <w:tcPr>
            <w:tcW w:w="2160" w:type="dxa"/>
          </w:tcPr>
          <w:p w:rsidR="000A6052" w:rsidRDefault="00E6057B" w14:paraId="56D06448" w14:textId="77777777">
            <w:pPr>
              <w:jc w:val="both"/>
              <w:rPr>
                <w:rFonts w:ascii="Calibri" w:hAnsi="Calibri" w:eastAsia="Calibri" w:cs="Calibri"/>
                <w:b/>
                <w:bCs/>
                <w:color w:val="404040"/>
              </w:rPr>
            </w:pPr>
            <w:r>
              <w:rPr>
                <w:rFonts w:ascii="Calibri" w:hAnsi="Calibri" w:eastAsia="Calibri" w:cs="Calibri"/>
                <w:b/>
                <w:bCs/>
                <w:color w:val="31849B"/>
              </w:rPr>
              <w:t>FIRMA:</w:t>
            </w:r>
          </w:p>
        </w:tc>
      </w:tr>
      <w:tr w:rsidR="000A6052" w:rsidTr="51AA01F1" w14:paraId="4CFF9313" w14:textId="77777777">
        <w:tc>
          <w:tcPr>
            <w:tcW w:w="2065" w:type="dxa"/>
          </w:tcPr>
          <w:p w:rsidR="000A6052" w:rsidRDefault="00E6057B" w14:paraId="140647F8" w14:textId="77777777">
            <w:pPr>
              <w:jc w:val="both"/>
              <w:rPr>
                <w:rFonts w:ascii="Calibri" w:hAnsi="Calibri" w:eastAsia="Calibri" w:cs="Calibri"/>
                <w:b/>
                <w:bCs/>
                <w:color w:val="404040"/>
              </w:rPr>
            </w:pPr>
            <w:r>
              <w:rPr>
                <w:rFonts w:ascii="Calibri" w:hAnsi="Calibri" w:eastAsia="Calibri" w:cs="Calibri"/>
                <w:b/>
                <w:bCs/>
                <w:color w:val="31849B"/>
              </w:rPr>
              <w:t>REVISADO POR:</w:t>
            </w:r>
          </w:p>
        </w:tc>
        <w:tc>
          <w:tcPr>
            <w:tcW w:w="4320" w:type="dxa"/>
          </w:tcPr>
          <w:p w:rsidR="000A6052" w:rsidRDefault="00E6057B" w14:paraId="5003A306" w14:textId="77777777">
            <w:pPr>
              <w:jc w:val="both"/>
              <w:rPr>
                <w:rFonts w:ascii="Calibri" w:hAnsi="Calibri" w:eastAsia="Calibri" w:cs="Calibri"/>
                <w:b/>
                <w:bCs/>
                <w:color w:val="31849B"/>
              </w:rPr>
            </w:pPr>
            <w:r>
              <w:rPr>
                <w:rFonts w:ascii="Calibri" w:hAnsi="Calibri" w:eastAsia="Calibri" w:cs="Calibri"/>
                <w:b/>
                <w:bCs/>
                <w:color w:val="31849B"/>
              </w:rPr>
              <w:t>Sibila Valdés S.</w:t>
            </w:r>
          </w:p>
          <w:p w:rsidR="000A6052" w:rsidRDefault="00E6057B" w14:paraId="36920448" w14:textId="77777777">
            <w:pPr>
              <w:jc w:val="both"/>
              <w:rPr>
                <w:rFonts w:ascii="Calibri" w:hAnsi="Calibri" w:eastAsia="Calibri" w:cs="Calibri"/>
                <w:color w:val="404040"/>
              </w:rPr>
            </w:pPr>
            <w:r>
              <w:rPr>
                <w:rFonts w:ascii="Calibri" w:hAnsi="Calibri" w:eastAsia="Calibri" w:cs="Calibri"/>
                <w:color w:val="404040"/>
              </w:rPr>
              <w:t>Superintendente de gestión servicio de terceros.</w:t>
            </w:r>
          </w:p>
          <w:p w:rsidR="000A6052" w:rsidRDefault="00E6057B" w14:paraId="1ABB159A" w14:textId="77777777">
            <w:pPr>
              <w:jc w:val="both"/>
              <w:rPr>
                <w:rFonts w:ascii="Calibri" w:hAnsi="Calibri" w:eastAsia="Calibri" w:cs="Calibri"/>
                <w:color w:val="404040"/>
              </w:rPr>
            </w:pPr>
            <w:r>
              <w:rPr>
                <w:rFonts w:ascii="Calibri" w:hAnsi="Calibri" w:eastAsia="Calibri" w:cs="Calibri"/>
                <w:color w:val="404040"/>
              </w:rPr>
              <w:t>Gerencia de Finanzas MLP</w:t>
            </w:r>
          </w:p>
          <w:p w:rsidR="000A6052" w:rsidRDefault="00E6057B" w14:paraId="16386773" w14:textId="77777777">
            <w:pPr>
              <w:jc w:val="both"/>
              <w:rPr>
                <w:rFonts w:ascii="Calibri" w:hAnsi="Calibri" w:eastAsia="Calibri" w:cs="Calibri"/>
                <w:color w:val="404040"/>
              </w:rPr>
            </w:pPr>
            <w:r>
              <w:rPr>
                <w:rFonts w:ascii="Calibri" w:hAnsi="Calibri" w:eastAsia="Calibri" w:cs="Calibri"/>
                <w:color w:val="404040"/>
              </w:rPr>
              <w:t>2026</w:t>
            </w:r>
          </w:p>
          <w:p w:rsidR="000A6052" w:rsidRDefault="000A6052" w14:paraId="0CE56A97" w14:textId="77777777">
            <w:pPr>
              <w:jc w:val="both"/>
              <w:rPr>
                <w:rFonts w:ascii="Calibri" w:hAnsi="Calibri" w:eastAsia="Calibri" w:cs="Calibri"/>
                <w:color w:val="404040"/>
              </w:rPr>
            </w:pPr>
          </w:p>
        </w:tc>
        <w:tc>
          <w:tcPr>
            <w:tcW w:w="2160" w:type="dxa"/>
          </w:tcPr>
          <w:p w:rsidR="000A6052" w:rsidRDefault="00E6057B" w14:paraId="5836E517" w14:textId="77777777">
            <w:pPr>
              <w:jc w:val="both"/>
              <w:rPr>
                <w:rFonts w:ascii="Calibri" w:hAnsi="Calibri" w:eastAsia="Calibri" w:cs="Calibri"/>
                <w:b/>
                <w:bCs/>
                <w:color w:val="404040"/>
              </w:rPr>
            </w:pPr>
            <w:r>
              <w:rPr>
                <w:rFonts w:ascii="Calibri" w:hAnsi="Calibri" w:eastAsia="Calibri" w:cs="Calibri"/>
                <w:b/>
                <w:bCs/>
                <w:color w:val="31849B"/>
              </w:rPr>
              <w:t>FIRMA:</w:t>
            </w:r>
            <w:r>
              <w:rPr>
                <w:noProof/>
              </w:rPr>
              <w:drawing>
                <wp:anchor distT="0" distB="0" distL="114300" distR="114300" simplePos="0" relativeHeight="251658240" behindDoc="0" locked="0" layoutInCell="1" hidden="0" allowOverlap="1" wp14:anchorId="7D77E586" wp14:editId="7BAD3219">
                  <wp:simplePos x="0" y="0"/>
                  <wp:positionH relativeFrom="column">
                    <wp:posOffset>69216</wp:posOffset>
                  </wp:positionH>
                  <wp:positionV relativeFrom="paragraph">
                    <wp:posOffset>63500</wp:posOffset>
                  </wp:positionV>
                  <wp:extent cx="1422400" cy="94234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22400" cy="942340"/>
                          </a:xfrm>
                          <a:prstGeom prst="rect">
                            <a:avLst/>
                          </a:prstGeom>
                          <a:ln/>
                        </pic:spPr>
                      </pic:pic>
                    </a:graphicData>
                  </a:graphic>
                </wp:anchor>
              </w:drawing>
            </w:r>
          </w:p>
        </w:tc>
      </w:tr>
      <w:tr w:rsidR="000A6052" w:rsidTr="51AA01F1" w14:paraId="4AB2CDD6" w14:textId="77777777">
        <w:tc>
          <w:tcPr>
            <w:tcW w:w="2065" w:type="dxa"/>
          </w:tcPr>
          <w:p w:rsidR="000A6052" w:rsidRDefault="00E6057B" w14:paraId="03BA1314" w14:textId="77777777">
            <w:pPr>
              <w:jc w:val="both"/>
              <w:rPr>
                <w:rFonts w:ascii="Calibri" w:hAnsi="Calibri" w:eastAsia="Calibri" w:cs="Calibri"/>
                <w:b/>
                <w:bCs/>
                <w:color w:val="31849B"/>
              </w:rPr>
            </w:pPr>
            <w:r>
              <w:rPr>
                <w:rFonts w:ascii="Calibri" w:hAnsi="Calibri" w:eastAsia="Calibri" w:cs="Calibri"/>
                <w:b/>
                <w:bCs/>
                <w:color w:val="31849B"/>
              </w:rPr>
              <w:t>AUTORIZADO POR:</w:t>
            </w:r>
          </w:p>
        </w:tc>
        <w:tc>
          <w:tcPr>
            <w:tcW w:w="4320" w:type="dxa"/>
          </w:tcPr>
          <w:p w:rsidR="000A6052" w:rsidP="51AA01F1" w:rsidRDefault="00E6057B" w14:paraId="147A8B35" w14:textId="77777777">
            <w:pPr>
              <w:jc w:val="both"/>
              <w:rPr>
                <w:rFonts w:ascii="Calibri" w:hAnsi="Calibri" w:eastAsia="Calibri" w:cs="Calibri"/>
                <w:b/>
                <w:bCs/>
                <w:color w:val="31849B"/>
                <w:lang w:val="es-ES"/>
              </w:rPr>
            </w:pPr>
            <w:r>
              <w:rPr>
                <w:rFonts w:ascii="Calibri" w:hAnsi="Calibri" w:eastAsia="Calibri" w:cs="Calibri"/>
                <w:b/>
                <w:bCs/>
                <w:color w:val="31849B" w:themeColor="accent5" w:themeShade="BF"/>
                <w:lang w:val="es-ES"/>
              </w:rPr>
              <w:t>Nallib Jodor H.</w:t>
            </w:r>
          </w:p>
          <w:p w:rsidR="000A6052" w:rsidRDefault="00E6057B" w14:paraId="3C3B38C9" w14:textId="77777777">
            <w:pPr>
              <w:jc w:val="both"/>
              <w:rPr>
                <w:rFonts w:ascii="Calibri" w:hAnsi="Calibri" w:eastAsia="Calibri" w:cs="Calibri"/>
                <w:color w:val="404040"/>
              </w:rPr>
            </w:pPr>
            <w:r>
              <w:rPr>
                <w:rFonts w:ascii="Calibri" w:hAnsi="Calibri" w:eastAsia="Calibri" w:cs="Calibri"/>
                <w:color w:val="404040"/>
              </w:rPr>
              <w:t>Gerente de Finanzas</w:t>
            </w:r>
          </w:p>
          <w:p w:rsidR="000A6052" w:rsidRDefault="00E6057B" w14:paraId="46FE4A44" w14:textId="77777777">
            <w:pPr>
              <w:jc w:val="both"/>
              <w:rPr>
                <w:rFonts w:ascii="Calibri" w:hAnsi="Calibri" w:eastAsia="Calibri" w:cs="Calibri"/>
                <w:color w:val="404040"/>
              </w:rPr>
            </w:pPr>
            <w:r>
              <w:rPr>
                <w:rFonts w:ascii="Calibri" w:hAnsi="Calibri" w:eastAsia="Calibri" w:cs="Calibri"/>
                <w:color w:val="404040"/>
              </w:rPr>
              <w:t>Gerencia de Finanzas MLP</w:t>
            </w:r>
          </w:p>
          <w:p w:rsidR="000A6052" w:rsidRDefault="00E6057B" w14:paraId="2473E4FA" w14:textId="77777777">
            <w:pPr>
              <w:jc w:val="both"/>
              <w:rPr>
                <w:rFonts w:ascii="Calibri" w:hAnsi="Calibri" w:eastAsia="Calibri" w:cs="Calibri"/>
                <w:color w:val="404040"/>
              </w:rPr>
            </w:pPr>
            <w:r>
              <w:rPr>
                <w:rFonts w:ascii="Calibri" w:hAnsi="Calibri" w:eastAsia="Calibri" w:cs="Calibri"/>
                <w:color w:val="404040"/>
              </w:rPr>
              <w:t>2026</w:t>
            </w:r>
          </w:p>
          <w:p w:rsidR="000A6052" w:rsidRDefault="000A6052" w14:paraId="0D240F3C" w14:textId="77777777">
            <w:pPr>
              <w:jc w:val="both"/>
              <w:rPr>
                <w:rFonts w:ascii="Calibri" w:hAnsi="Calibri" w:eastAsia="Calibri" w:cs="Calibri"/>
                <w:b/>
                <w:bCs/>
                <w:color w:val="31849B"/>
              </w:rPr>
            </w:pPr>
          </w:p>
        </w:tc>
        <w:tc>
          <w:tcPr>
            <w:tcW w:w="2160" w:type="dxa"/>
          </w:tcPr>
          <w:p w:rsidR="000A6052" w:rsidRDefault="00E6057B" w14:paraId="3B691E0E" w14:textId="77777777">
            <w:pPr>
              <w:jc w:val="both"/>
              <w:rPr>
                <w:rFonts w:ascii="Calibri" w:hAnsi="Calibri" w:eastAsia="Calibri" w:cs="Calibri"/>
                <w:b/>
                <w:bCs/>
                <w:color w:val="31849B"/>
              </w:rPr>
            </w:pPr>
            <w:r>
              <w:rPr>
                <w:rFonts w:ascii="Calibri" w:hAnsi="Calibri" w:eastAsia="Calibri" w:cs="Calibri"/>
                <w:b/>
                <w:bCs/>
                <w:color w:val="31849B"/>
              </w:rPr>
              <w:t>FIRMA:</w:t>
            </w:r>
          </w:p>
        </w:tc>
      </w:tr>
    </w:tbl>
    <w:p w:rsidR="000A6052" w:rsidRDefault="000A6052" w14:paraId="488F60E9" w14:textId="77777777">
      <w:pPr>
        <w:spacing w:after="120" w:line="264" w:lineRule="auto"/>
        <w:jc w:val="both"/>
        <w:rPr>
          <w:rFonts w:ascii="Calibri" w:hAnsi="Calibri" w:eastAsia="Calibri" w:cs="Calibri"/>
        </w:rPr>
      </w:pPr>
    </w:p>
    <w:p w:rsidR="000A6052" w:rsidRDefault="000A6052" w14:paraId="3F85A023" w14:textId="77777777">
      <w:pPr>
        <w:spacing w:after="120" w:line="264" w:lineRule="auto"/>
        <w:jc w:val="both"/>
        <w:rPr>
          <w:rFonts w:ascii="Calibri" w:hAnsi="Calibri" w:eastAsia="Calibri" w:cs="Calibri"/>
        </w:rPr>
      </w:pPr>
    </w:p>
    <w:p w:rsidR="000A6052" w:rsidRDefault="000A6052" w14:paraId="045D4239" w14:textId="77777777">
      <w:pPr>
        <w:spacing w:after="120" w:line="264" w:lineRule="auto"/>
        <w:jc w:val="both"/>
        <w:rPr>
          <w:rFonts w:ascii="Calibri" w:hAnsi="Calibri" w:eastAsia="Calibri" w:cs="Calibri"/>
          <w:b/>
          <w:bCs/>
        </w:rPr>
      </w:pPr>
    </w:p>
    <w:p w:rsidR="000A6052" w:rsidRDefault="000A6052" w14:paraId="08C24094" w14:textId="77777777">
      <w:pPr>
        <w:spacing w:after="120" w:line="264" w:lineRule="auto"/>
        <w:jc w:val="both"/>
        <w:rPr>
          <w:rFonts w:ascii="Calibri" w:hAnsi="Calibri" w:eastAsia="Calibri" w:cs="Calibri"/>
          <w:b/>
          <w:bCs/>
        </w:rPr>
      </w:pPr>
    </w:p>
    <w:p w:rsidR="000A6052" w:rsidRDefault="000A6052" w14:paraId="1F342644" w14:textId="77777777">
      <w:pPr>
        <w:spacing w:after="120" w:line="264" w:lineRule="auto"/>
        <w:jc w:val="both"/>
        <w:rPr>
          <w:rFonts w:ascii="Calibri" w:hAnsi="Calibri" w:eastAsia="Calibri" w:cs="Calibri"/>
          <w:b/>
          <w:bCs/>
        </w:rPr>
      </w:pPr>
    </w:p>
    <w:p w:rsidR="000A6052" w:rsidRDefault="000A6052" w14:paraId="2EACB088" w14:textId="77777777">
      <w:pPr>
        <w:spacing w:after="120" w:line="264" w:lineRule="auto"/>
        <w:jc w:val="both"/>
        <w:rPr>
          <w:rFonts w:ascii="Calibri" w:hAnsi="Calibri" w:eastAsia="Calibri" w:cs="Calibri"/>
          <w:b/>
          <w:bCs/>
        </w:rPr>
      </w:pPr>
    </w:p>
    <w:p w:rsidR="000A6052" w:rsidRDefault="000A6052" w14:paraId="31FD233B" w14:textId="77777777">
      <w:pPr>
        <w:spacing w:after="120" w:line="264" w:lineRule="auto"/>
        <w:jc w:val="both"/>
        <w:rPr>
          <w:rFonts w:ascii="Calibri" w:hAnsi="Calibri" w:eastAsia="Calibri" w:cs="Calibri"/>
          <w:b/>
          <w:bCs/>
        </w:rPr>
      </w:pPr>
    </w:p>
    <w:p w:rsidR="000A6052" w:rsidRDefault="000A6052" w14:paraId="573D4F65" w14:textId="77777777">
      <w:pPr>
        <w:spacing w:after="120" w:line="264" w:lineRule="auto"/>
        <w:jc w:val="both"/>
        <w:rPr>
          <w:rFonts w:ascii="Calibri" w:hAnsi="Calibri" w:eastAsia="Calibri" w:cs="Calibri"/>
          <w:b/>
          <w:bCs/>
        </w:rPr>
      </w:pPr>
    </w:p>
    <w:p w:rsidR="000A6052" w:rsidRDefault="000A6052" w14:paraId="661BC209" w14:textId="77777777">
      <w:pPr>
        <w:spacing w:after="120" w:line="264" w:lineRule="auto"/>
        <w:jc w:val="both"/>
        <w:rPr>
          <w:rFonts w:ascii="Calibri" w:hAnsi="Calibri" w:eastAsia="Calibri" w:cs="Calibri"/>
          <w:b/>
          <w:bCs/>
        </w:rPr>
      </w:pPr>
    </w:p>
    <w:p w:rsidR="000A6052" w:rsidRDefault="00E6057B" w14:paraId="51EFC622" w14:textId="77777777">
      <w:pPr>
        <w:spacing w:after="120" w:line="264" w:lineRule="auto"/>
        <w:jc w:val="both"/>
        <w:rPr>
          <w:rFonts w:ascii="Calibri" w:hAnsi="Calibri" w:eastAsia="Calibri" w:cs="Calibri"/>
          <w:b/>
          <w:bCs/>
          <w:color w:val="31849B"/>
        </w:rPr>
      </w:pPr>
      <w:r>
        <w:rPr>
          <w:rFonts w:ascii="Calibri" w:hAnsi="Calibri" w:eastAsia="Calibri" w:cs="Calibri"/>
          <w:b/>
          <w:bCs/>
          <w:color w:val="31849B"/>
        </w:rPr>
        <w:t>Control de Cambios</w:t>
      </w:r>
    </w:p>
    <w:tbl>
      <w:tblPr>
        <w:tblStyle w:val="a0"/>
        <w:tblW w:w="567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134"/>
        <w:gridCol w:w="2693"/>
        <w:gridCol w:w="1843"/>
      </w:tblGrid>
      <w:tr w:rsidR="000A6052" w:rsidTr="000A6052" w14:paraId="6B02C3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0A6052" w:rsidRDefault="00E6057B" w14:paraId="7690F1A5" w14:textId="77777777">
            <w:pPr>
              <w:jc w:val="center"/>
              <w:rPr>
                <w:rFonts w:ascii="Calibri" w:hAnsi="Calibri" w:eastAsia="Calibri" w:cs="Calibri"/>
                <w:color w:val="31849B"/>
              </w:rPr>
            </w:pPr>
            <w:bookmarkStart w:name="_kyl6azaafmoo" w:colFirst="0" w:colLast="0" w:id="0"/>
            <w:bookmarkEnd w:id="0"/>
            <w:r>
              <w:rPr>
                <w:rFonts w:ascii="Calibri" w:hAnsi="Calibri" w:eastAsia="Calibri" w:cs="Calibri"/>
                <w:color w:val="31849B"/>
              </w:rPr>
              <w:t>Versión</w:t>
            </w:r>
          </w:p>
        </w:tc>
        <w:tc>
          <w:tcPr>
            <w:tcW w:w="2693" w:type="dxa"/>
          </w:tcPr>
          <w:p w:rsidR="000A6052" w:rsidRDefault="00E6057B" w14:paraId="31934B5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color w:val="31849B"/>
              </w:rPr>
            </w:pPr>
            <w:r>
              <w:rPr>
                <w:rFonts w:ascii="Calibri" w:hAnsi="Calibri" w:eastAsia="Calibri" w:cs="Calibri"/>
                <w:color w:val="31849B"/>
              </w:rPr>
              <w:t>Detalle de la Modificación</w:t>
            </w:r>
          </w:p>
        </w:tc>
        <w:tc>
          <w:tcPr>
            <w:tcW w:w="1843" w:type="dxa"/>
          </w:tcPr>
          <w:p w:rsidR="000A6052" w:rsidRDefault="00E6057B" w14:paraId="7ABE20F1"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color w:val="31849B"/>
              </w:rPr>
            </w:pPr>
            <w:r>
              <w:rPr>
                <w:rFonts w:ascii="Calibri" w:hAnsi="Calibri" w:eastAsia="Calibri" w:cs="Calibri"/>
                <w:color w:val="31849B"/>
              </w:rPr>
              <w:t>Fecha</w:t>
            </w:r>
          </w:p>
        </w:tc>
      </w:tr>
      <w:tr w:rsidR="000A6052" w:rsidTr="000A6052" w14:paraId="490B60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0A6052" w:rsidRDefault="00E6057B" w14:paraId="64197CB7" w14:textId="77777777">
            <w:pPr>
              <w:jc w:val="center"/>
              <w:rPr>
                <w:rFonts w:ascii="Calibri" w:hAnsi="Calibri" w:eastAsia="Calibri" w:cs="Calibri"/>
              </w:rPr>
            </w:pPr>
            <w:r>
              <w:rPr>
                <w:rFonts w:ascii="Calibri" w:hAnsi="Calibri" w:eastAsia="Calibri" w:cs="Calibri"/>
              </w:rPr>
              <w:t>00</w:t>
            </w:r>
          </w:p>
        </w:tc>
        <w:tc>
          <w:tcPr>
            <w:tcW w:w="2693" w:type="dxa"/>
          </w:tcPr>
          <w:p w:rsidR="000A6052" w:rsidRDefault="00E6057B" w14:paraId="40D2739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Pr>
                <w:rFonts w:ascii="Calibri" w:hAnsi="Calibri" w:eastAsia="Calibri" w:cs="Calibri"/>
              </w:rPr>
              <w:t>Publicación</w:t>
            </w:r>
          </w:p>
        </w:tc>
        <w:tc>
          <w:tcPr>
            <w:tcW w:w="1843" w:type="dxa"/>
          </w:tcPr>
          <w:p w:rsidR="000A6052" w:rsidRDefault="00E6057B" w14:paraId="64A92C0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Pr>
                <w:rFonts w:ascii="Calibri" w:hAnsi="Calibri" w:eastAsia="Calibri" w:cs="Calibri"/>
              </w:rPr>
              <w:t>Enero 2026</w:t>
            </w:r>
          </w:p>
        </w:tc>
      </w:tr>
    </w:tbl>
    <w:p w:rsidR="000A6052" w:rsidRDefault="000A6052" w14:paraId="548A013B" w14:textId="77777777">
      <w:pPr>
        <w:spacing w:after="120" w:line="264" w:lineRule="auto"/>
        <w:jc w:val="both"/>
        <w:rPr>
          <w:rFonts w:ascii="Calibri" w:hAnsi="Calibri" w:eastAsia="Calibri" w:cs="Calibri"/>
          <w:b/>
          <w:bCs/>
        </w:rPr>
      </w:pPr>
    </w:p>
    <w:p w:rsidR="000A6052" w:rsidRDefault="00E6057B" w14:paraId="4D5E097A" w14:textId="77777777">
      <w:pPr>
        <w:spacing w:after="120" w:line="264" w:lineRule="auto"/>
        <w:jc w:val="both"/>
        <w:rPr>
          <w:rFonts w:ascii="Calibri" w:hAnsi="Calibri" w:eastAsia="Calibri" w:cs="Calibri"/>
          <w:color w:val="31849B"/>
        </w:rPr>
      </w:pPr>
      <w:r>
        <w:rPr>
          <w:rFonts w:ascii="Calibri" w:hAnsi="Calibri" w:eastAsia="Calibri" w:cs="Calibri"/>
          <w:b/>
          <w:bCs/>
          <w:color w:val="31849B"/>
        </w:rPr>
        <w:t>Próxima Revisión</w:t>
      </w:r>
    </w:p>
    <w:tbl>
      <w:tblPr>
        <w:tblStyle w:val="a1"/>
        <w:tblW w:w="567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134"/>
        <w:gridCol w:w="2693"/>
        <w:gridCol w:w="1843"/>
      </w:tblGrid>
      <w:tr w:rsidR="000A6052" w:rsidTr="000A6052" w14:paraId="7566483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0A6052" w:rsidRDefault="00E6057B" w14:paraId="2B9E6D61" w14:textId="77777777">
            <w:pPr>
              <w:jc w:val="center"/>
              <w:rPr>
                <w:rFonts w:ascii="Calibri" w:hAnsi="Calibri" w:eastAsia="Calibri" w:cs="Calibri"/>
                <w:color w:val="31849B"/>
              </w:rPr>
            </w:pPr>
            <w:r>
              <w:rPr>
                <w:rFonts w:ascii="Calibri" w:hAnsi="Calibri" w:eastAsia="Calibri" w:cs="Calibri"/>
                <w:color w:val="31849B"/>
              </w:rPr>
              <w:t>Versión</w:t>
            </w:r>
          </w:p>
        </w:tc>
        <w:tc>
          <w:tcPr>
            <w:tcW w:w="2693" w:type="dxa"/>
          </w:tcPr>
          <w:p w:rsidR="000A6052" w:rsidRDefault="00E6057B" w14:paraId="77D6F6D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color w:val="31849B"/>
              </w:rPr>
            </w:pPr>
            <w:r>
              <w:rPr>
                <w:rFonts w:ascii="Calibri" w:hAnsi="Calibri" w:eastAsia="Calibri" w:cs="Calibri"/>
                <w:color w:val="31849B"/>
              </w:rPr>
              <w:t>Detalle de la Modificación</w:t>
            </w:r>
          </w:p>
        </w:tc>
        <w:tc>
          <w:tcPr>
            <w:tcW w:w="1843" w:type="dxa"/>
          </w:tcPr>
          <w:p w:rsidR="000A6052" w:rsidRDefault="00E6057B" w14:paraId="0CC825F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color w:val="31849B"/>
              </w:rPr>
            </w:pPr>
            <w:r>
              <w:rPr>
                <w:rFonts w:ascii="Calibri" w:hAnsi="Calibri" w:eastAsia="Calibri" w:cs="Calibri"/>
                <w:color w:val="31849B"/>
              </w:rPr>
              <w:t>Fecha</w:t>
            </w:r>
          </w:p>
        </w:tc>
      </w:tr>
      <w:tr w:rsidR="000A6052" w:rsidTr="000A6052" w14:paraId="27E90F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0A6052" w:rsidRDefault="00E6057B" w14:paraId="6FEDD9CB" w14:textId="77777777">
            <w:pPr>
              <w:jc w:val="center"/>
              <w:rPr>
                <w:rFonts w:ascii="Calibri" w:hAnsi="Calibri" w:eastAsia="Calibri" w:cs="Calibri"/>
              </w:rPr>
            </w:pPr>
            <w:r>
              <w:rPr>
                <w:rFonts w:ascii="Calibri" w:hAnsi="Calibri" w:eastAsia="Calibri" w:cs="Calibri"/>
              </w:rPr>
              <w:t>01</w:t>
            </w:r>
          </w:p>
        </w:tc>
        <w:tc>
          <w:tcPr>
            <w:tcW w:w="2693" w:type="dxa"/>
          </w:tcPr>
          <w:p w:rsidR="000A6052" w:rsidRDefault="00E6057B" w14:paraId="12C9435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Pr>
                <w:rFonts w:ascii="Calibri" w:hAnsi="Calibri" w:eastAsia="Calibri" w:cs="Calibri"/>
              </w:rPr>
              <w:t>Revisión</w:t>
            </w:r>
          </w:p>
        </w:tc>
        <w:tc>
          <w:tcPr>
            <w:tcW w:w="1843" w:type="dxa"/>
          </w:tcPr>
          <w:p w:rsidR="000A6052" w:rsidRDefault="00E6057B" w14:paraId="4E2977E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Pr>
                <w:rFonts w:ascii="Calibri" w:hAnsi="Calibri" w:eastAsia="Calibri" w:cs="Calibri"/>
              </w:rPr>
              <w:t>Enero 2027</w:t>
            </w:r>
          </w:p>
        </w:tc>
      </w:tr>
      <w:tr w:rsidR="000A6052" w:rsidTr="000A6052" w14:paraId="137D17D4" w14:textId="77777777">
        <w:tc>
          <w:tcPr>
            <w:cnfStyle w:val="001000000000" w:firstRow="0" w:lastRow="0" w:firstColumn="1" w:lastColumn="0" w:oddVBand="0" w:evenVBand="0" w:oddHBand="0" w:evenHBand="0" w:firstRowFirstColumn="0" w:firstRowLastColumn="0" w:lastRowFirstColumn="0" w:lastRowLastColumn="0"/>
            <w:tcW w:w="1134" w:type="dxa"/>
          </w:tcPr>
          <w:p w:rsidR="000A6052" w:rsidRDefault="000A6052" w14:paraId="32F2C8BA" w14:textId="77777777">
            <w:pPr>
              <w:jc w:val="both"/>
              <w:rPr>
                <w:rFonts w:ascii="Calibri" w:hAnsi="Calibri" w:eastAsia="Calibri" w:cs="Calibri"/>
              </w:rPr>
            </w:pPr>
          </w:p>
        </w:tc>
        <w:tc>
          <w:tcPr>
            <w:tcW w:w="2693" w:type="dxa"/>
          </w:tcPr>
          <w:p w:rsidR="000A6052" w:rsidRDefault="000A6052" w14:paraId="270B561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tcW w:w="1843" w:type="dxa"/>
          </w:tcPr>
          <w:p w:rsidR="000A6052" w:rsidRDefault="000A6052" w14:paraId="78F2BE57"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000A6052" w:rsidRDefault="000A6052" w14:paraId="4107DC2F" w14:textId="77777777">
      <w:pPr>
        <w:pStyle w:val="Ttulo5"/>
        <w:spacing w:before="40" w:after="0"/>
        <w:ind w:left="2832" w:firstLine="708"/>
        <w:jc w:val="both"/>
        <w:rPr>
          <w:rFonts w:ascii="Calibri" w:hAnsi="Calibri" w:eastAsia="Calibri" w:cs="Calibri"/>
          <w:color w:val="000000"/>
        </w:rPr>
      </w:pPr>
    </w:p>
    <w:p w:rsidR="000A6052" w:rsidRDefault="000A6052" w14:paraId="6596CB71" w14:textId="77777777"/>
    <w:p w:rsidR="000A6052" w:rsidRDefault="000A6052" w14:paraId="65079C1E" w14:textId="77777777"/>
    <w:p w:rsidR="000A6052" w:rsidRDefault="000A6052" w14:paraId="3A0EB655" w14:textId="77777777"/>
    <w:p w:rsidR="00D7016D" w:rsidRDefault="00D7016D" w14:paraId="10D2B86C" w14:textId="77777777"/>
    <w:p w:rsidR="00D7016D" w:rsidRDefault="00D7016D" w14:paraId="4E909D60" w14:textId="77777777"/>
    <w:p w:rsidR="00D7016D" w:rsidRDefault="00D7016D" w14:paraId="1391E45D" w14:textId="77777777"/>
    <w:p w:rsidR="00F368DB" w:rsidRDefault="00F368DB" w14:paraId="4C3B5170" w14:textId="77777777"/>
    <w:p w:rsidR="00D7016D" w:rsidP="00D7016D" w:rsidRDefault="00D7016D" w14:paraId="13070777" w14:textId="77777777"/>
    <w:p w:rsidR="00D7016D" w:rsidP="00D7016D" w:rsidRDefault="00D7016D" w14:paraId="565B6138" w14:textId="77777777"/>
    <w:p w:rsidRPr="00024C98" w:rsidR="000A6052" w:rsidP="00024C98" w:rsidRDefault="00E6057B" w14:paraId="7BD3A650" w14:textId="323981A6">
      <w:pPr>
        <w:jc w:val="center"/>
        <w:rPr>
          <w:rFonts w:ascii="Calibri" w:hAnsi="Calibri" w:cs="Calibri"/>
          <w:b/>
          <w:bCs/>
          <w:color w:val="31849B"/>
          <w:sz w:val="40"/>
          <w:szCs w:val="40"/>
        </w:rPr>
      </w:pPr>
      <w:r>
        <w:rPr>
          <w:rFonts w:ascii="Calibri" w:hAnsi="Calibri" w:cs="Calibri"/>
          <w:b/>
          <w:bCs/>
          <w:color w:val="31849B"/>
          <w:sz w:val="40"/>
          <w:szCs w:val="40"/>
        </w:rPr>
        <w:t>ÍNDICE</w:t>
      </w:r>
    </w:p>
    <w:bookmarkStart w:name="_l7h4y5t5vqh" w:colFirst="0" w:colLast="0" w:displacedByCustomXml="next" w:id="1"/>
    <w:bookmarkEnd w:displacedByCustomXml="next" w:id="1"/>
    <w:sdt>
      <w:sdtPr>
        <w:rPr>
          <w:rFonts w:ascii="Arial" w:hAnsi="Arial" w:eastAsia="Arial" w:cs="Arial"/>
          <w:color w:val="auto"/>
          <w:sz w:val="22"/>
          <w:szCs w:val="22"/>
          <w:lang w:val="es-ES"/>
        </w:rPr>
        <w:id w:val="-482310904"/>
        <w:docPartObj>
          <w:docPartGallery w:val="Table of Contents"/>
          <w:docPartUnique/>
        </w:docPartObj>
      </w:sdtPr>
      <w:sdtEndPr>
        <w:rPr>
          <w:rFonts w:ascii="Arial" w:hAnsi="Arial" w:eastAsia="Arial" w:cs="Arial"/>
          <w:b w:val="1"/>
          <w:bCs w:val="1"/>
          <w:color w:val="auto"/>
          <w:sz w:val="22"/>
          <w:szCs w:val="22"/>
          <w:lang w:val="es-ES"/>
        </w:rPr>
      </w:sdtEndPr>
      <w:sdtContent>
        <w:p w:rsidRPr="0088586B" w:rsidR="00D7016D" w:rsidRDefault="00D7016D" w14:paraId="52C1FE87" w14:textId="475D1296">
          <w:pPr>
            <w:pStyle w:val="TtuloTDC"/>
            <w:rPr>
              <w:color w:val="auto"/>
            </w:rPr>
          </w:pPr>
        </w:p>
        <w:p w:rsidR="0096384F" w:rsidRDefault="00D7016D" w14:paraId="03CDEF53" w14:textId="21E4C3B7">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r>
            <w:fldChar w:fldCharType="begin"/>
          </w:r>
          <w:r>
            <w:instrText xml:space="preserve"> TOC \o "1-3" \h \z \u </w:instrText>
          </w:r>
          <w:r>
            <w:fldChar w:fldCharType="separate"/>
          </w:r>
          <w:hyperlink w:history="1" w:anchor="_Toc225762001">
            <w:r w:rsidRPr="005A4260" w:rsidR="0096384F">
              <w:rPr>
                <w:rStyle w:val="Hipervnculo"/>
                <w:rFonts w:asciiTheme="majorHAnsi" w:hAnsiTheme="majorHAnsi"/>
                <w:noProof/>
              </w:rPr>
              <w:t>1. Objetivo</w:t>
            </w:r>
            <w:r w:rsidR="0096384F">
              <w:rPr>
                <w:noProof/>
                <w:webHidden/>
              </w:rPr>
              <w:tab/>
            </w:r>
            <w:r w:rsidR="0096384F">
              <w:rPr>
                <w:noProof/>
                <w:webHidden/>
              </w:rPr>
              <w:fldChar w:fldCharType="begin"/>
            </w:r>
            <w:r w:rsidR="0096384F">
              <w:rPr>
                <w:noProof/>
                <w:webHidden/>
              </w:rPr>
              <w:instrText xml:space="preserve"> PAGEREF _Toc225762001 \h </w:instrText>
            </w:r>
            <w:r w:rsidR="0096384F">
              <w:rPr>
                <w:noProof/>
                <w:webHidden/>
              </w:rPr>
            </w:r>
            <w:r w:rsidR="0096384F">
              <w:rPr>
                <w:noProof/>
                <w:webHidden/>
              </w:rPr>
              <w:fldChar w:fldCharType="separate"/>
            </w:r>
            <w:r w:rsidR="0096384F">
              <w:rPr>
                <w:noProof/>
                <w:webHidden/>
              </w:rPr>
              <w:t>4</w:t>
            </w:r>
            <w:r w:rsidR="0096384F">
              <w:rPr>
                <w:noProof/>
                <w:webHidden/>
              </w:rPr>
              <w:fldChar w:fldCharType="end"/>
            </w:r>
          </w:hyperlink>
        </w:p>
        <w:p w:rsidR="0096384F" w:rsidRDefault="0096384F" w14:paraId="0E62E446" w14:textId="6F2BB60C">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2">
            <w:r w:rsidRPr="005A4260">
              <w:rPr>
                <w:rStyle w:val="Hipervnculo"/>
                <w:rFonts w:asciiTheme="majorHAnsi" w:hAnsiTheme="majorHAnsi"/>
                <w:noProof/>
              </w:rPr>
              <w:t>2. Alcance y aplicación</w:t>
            </w:r>
            <w:r>
              <w:rPr>
                <w:noProof/>
                <w:webHidden/>
              </w:rPr>
              <w:tab/>
            </w:r>
            <w:r>
              <w:rPr>
                <w:noProof/>
                <w:webHidden/>
              </w:rPr>
              <w:fldChar w:fldCharType="begin"/>
            </w:r>
            <w:r>
              <w:rPr>
                <w:noProof/>
                <w:webHidden/>
              </w:rPr>
              <w:instrText xml:space="preserve"> PAGEREF _Toc225762002 \h </w:instrText>
            </w:r>
            <w:r>
              <w:rPr>
                <w:noProof/>
                <w:webHidden/>
              </w:rPr>
            </w:r>
            <w:r>
              <w:rPr>
                <w:noProof/>
                <w:webHidden/>
              </w:rPr>
              <w:fldChar w:fldCharType="separate"/>
            </w:r>
            <w:r>
              <w:rPr>
                <w:noProof/>
                <w:webHidden/>
              </w:rPr>
              <w:t>4</w:t>
            </w:r>
            <w:r>
              <w:rPr>
                <w:noProof/>
                <w:webHidden/>
              </w:rPr>
              <w:fldChar w:fldCharType="end"/>
            </w:r>
          </w:hyperlink>
        </w:p>
        <w:p w:rsidR="0096384F" w:rsidRDefault="0096384F" w14:paraId="02DC0FD9" w14:textId="782A42B3">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3">
            <w:r w:rsidRPr="005A4260">
              <w:rPr>
                <w:rStyle w:val="Hipervnculo"/>
                <w:rFonts w:asciiTheme="majorHAnsi" w:hAnsiTheme="majorHAnsi"/>
                <w:noProof/>
              </w:rPr>
              <w:t>3. Roles y responsabilidades</w:t>
            </w:r>
            <w:r>
              <w:rPr>
                <w:noProof/>
                <w:webHidden/>
              </w:rPr>
              <w:tab/>
            </w:r>
            <w:r>
              <w:rPr>
                <w:noProof/>
                <w:webHidden/>
              </w:rPr>
              <w:fldChar w:fldCharType="begin"/>
            </w:r>
            <w:r>
              <w:rPr>
                <w:noProof/>
                <w:webHidden/>
              </w:rPr>
              <w:instrText xml:space="preserve"> PAGEREF _Toc225762003 \h </w:instrText>
            </w:r>
            <w:r>
              <w:rPr>
                <w:noProof/>
                <w:webHidden/>
              </w:rPr>
            </w:r>
            <w:r>
              <w:rPr>
                <w:noProof/>
                <w:webHidden/>
              </w:rPr>
              <w:fldChar w:fldCharType="separate"/>
            </w:r>
            <w:r>
              <w:rPr>
                <w:noProof/>
                <w:webHidden/>
              </w:rPr>
              <w:t>4</w:t>
            </w:r>
            <w:r>
              <w:rPr>
                <w:noProof/>
                <w:webHidden/>
              </w:rPr>
              <w:fldChar w:fldCharType="end"/>
            </w:r>
          </w:hyperlink>
        </w:p>
        <w:p w:rsidR="0096384F" w:rsidRDefault="0096384F" w14:paraId="4F58B712" w14:textId="27C2107B">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4">
            <w:r w:rsidRPr="005A4260">
              <w:rPr>
                <w:rStyle w:val="Hipervnculo"/>
                <w:rFonts w:asciiTheme="majorHAnsi" w:hAnsiTheme="majorHAnsi"/>
                <w:noProof/>
              </w:rPr>
              <w:t>4. Principios del cierre mensual</w:t>
            </w:r>
            <w:r>
              <w:rPr>
                <w:noProof/>
                <w:webHidden/>
              </w:rPr>
              <w:tab/>
            </w:r>
            <w:r>
              <w:rPr>
                <w:noProof/>
                <w:webHidden/>
              </w:rPr>
              <w:fldChar w:fldCharType="begin"/>
            </w:r>
            <w:r>
              <w:rPr>
                <w:noProof/>
                <w:webHidden/>
              </w:rPr>
              <w:instrText xml:space="preserve"> PAGEREF _Toc225762004 \h </w:instrText>
            </w:r>
            <w:r>
              <w:rPr>
                <w:noProof/>
                <w:webHidden/>
              </w:rPr>
            </w:r>
            <w:r>
              <w:rPr>
                <w:noProof/>
                <w:webHidden/>
              </w:rPr>
              <w:fldChar w:fldCharType="separate"/>
            </w:r>
            <w:r>
              <w:rPr>
                <w:noProof/>
                <w:webHidden/>
              </w:rPr>
              <w:t>5</w:t>
            </w:r>
            <w:r>
              <w:rPr>
                <w:noProof/>
                <w:webHidden/>
              </w:rPr>
              <w:fldChar w:fldCharType="end"/>
            </w:r>
          </w:hyperlink>
        </w:p>
        <w:p w:rsidR="0096384F" w:rsidRDefault="0096384F" w14:paraId="19741312" w14:textId="0537970F">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5">
            <w:r w:rsidRPr="005A4260">
              <w:rPr>
                <w:rStyle w:val="Hipervnculo"/>
                <w:rFonts w:asciiTheme="majorHAnsi" w:hAnsiTheme="majorHAnsi"/>
                <w:noProof/>
              </w:rPr>
              <w:t>5. Ejecución del cierre mensual</w:t>
            </w:r>
            <w:r>
              <w:rPr>
                <w:noProof/>
                <w:webHidden/>
              </w:rPr>
              <w:tab/>
            </w:r>
            <w:r>
              <w:rPr>
                <w:noProof/>
                <w:webHidden/>
              </w:rPr>
              <w:fldChar w:fldCharType="begin"/>
            </w:r>
            <w:r>
              <w:rPr>
                <w:noProof/>
                <w:webHidden/>
              </w:rPr>
              <w:instrText xml:space="preserve"> PAGEREF _Toc225762005 \h </w:instrText>
            </w:r>
            <w:r>
              <w:rPr>
                <w:noProof/>
                <w:webHidden/>
              </w:rPr>
            </w:r>
            <w:r>
              <w:rPr>
                <w:noProof/>
                <w:webHidden/>
              </w:rPr>
              <w:fldChar w:fldCharType="separate"/>
            </w:r>
            <w:r>
              <w:rPr>
                <w:noProof/>
                <w:webHidden/>
              </w:rPr>
              <w:t>5</w:t>
            </w:r>
            <w:r>
              <w:rPr>
                <w:noProof/>
                <w:webHidden/>
              </w:rPr>
              <w:fldChar w:fldCharType="end"/>
            </w:r>
          </w:hyperlink>
        </w:p>
        <w:p w:rsidR="0096384F" w:rsidRDefault="0096384F" w14:paraId="150C68BE" w14:textId="70D38F7C">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6">
            <w:r w:rsidRPr="005A4260">
              <w:rPr>
                <w:rStyle w:val="Hipervnculo"/>
                <w:rFonts w:asciiTheme="majorHAnsi" w:hAnsiTheme="majorHAnsi"/>
                <w:noProof/>
              </w:rPr>
              <w:t>5.1 Inicio formal del proceso</w:t>
            </w:r>
            <w:r>
              <w:rPr>
                <w:noProof/>
                <w:webHidden/>
              </w:rPr>
              <w:tab/>
            </w:r>
            <w:r>
              <w:rPr>
                <w:noProof/>
                <w:webHidden/>
              </w:rPr>
              <w:fldChar w:fldCharType="begin"/>
            </w:r>
            <w:r>
              <w:rPr>
                <w:noProof/>
                <w:webHidden/>
              </w:rPr>
              <w:instrText xml:space="preserve"> PAGEREF _Toc225762006 \h </w:instrText>
            </w:r>
            <w:r>
              <w:rPr>
                <w:noProof/>
                <w:webHidden/>
              </w:rPr>
            </w:r>
            <w:r>
              <w:rPr>
                <w:noProof/>
                <w:webHidden/>
              </w:rPr>
              <w:fldChar w:fldCharType="separate"/>
            </w:r>
            <w:r>
              <w:rPr>
                <w:noProof/>
                <w:webHidden/>
              </w:rPr>
              <w:t>6</w:t>
            </w:r>
            <w:r>
              <w:rPr>
                <w:noProof/>
                <w:webHidden/>
              </w:rPr>
              <w:fldChar w:fldCharType="end"/>
            </w:r>
          </w:hyperlink>
        </w:p>
        <w:p w:rsidR="0096384F" w:rsidRDefault="0096384F" w14:paraId="181AF447" w14:textId="1E5025EE">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7">
            <w:r w:rsidRPr="005A4260">
              <w:rPr>
                <w:rStyle w:val="Hipervnculo"/>
                <w:rFonts w:asciiTheme="majorHAnsi" w:hAnsiTheme="majorHAnsi"/>
                <w:noProof/>
              </w:rPr>
              <w:t>5.2 Recopilación de insumos oficiales</w:t>
            </w:r>
            <w:r>
              <w:rPr>
                <w:noProof/>
                <w:webHidden/>
              </w:rPr>
              <w:tab/>
            </w:r>
            <w:r>
              <w:rPr>
                <w:noProof/>
                <w:webHidden/>
              </w:rPr>
              <w:fldChar w:fldCharType="begin"/>
            </w:r>
            <w:r>
              <w:rPr>
                <w:noProof/>
                <w:webHidden/>
              </w:rPr>
              <w:instrText xml:space="preserve"> PAGEREF _Toc225762007 \h </w:instrText>
            </w:r>
            <w:r>
              <w:rPr>
                <w:noProof/>
                <w:webHidden/>
              </w:rPr>
            </w:r>
            <w:r>
              <w:rPr>
                <w:noProof/>
                <w:webHidden/>
              </w:rPr>
              <w:fldChar w:fldCharType="separate"/>
            </w:r>
            <w:r>
              <w:rPr>
                <w:noProof/>
                <w:webHidden/>
              </w:rPr>
              <w:t>6</w:t>
            </w:r>
            <w:r>
              <w:rPr>
                <w:noProof/>
                <w:webHidden/>
              </w:rPr>
              <w:fldChar w:fldCharType="end"/>
            </w:r>
          </w:hyperlink>
        </w:p>
        <w:p w:rsidR="0096384F" w:rsidRDefault="0096384F" w14:paraId="5D1A048F" w14:textId="41BF65F5">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8">
            <w:r w:rsidRPr="005A4260">
              <w:rPr>
                <w:rStyle w:val="Hipervnculo"/>
                <w:rFonts w:asciiTheme="majorHAnsi" w:hAnsiTheme="majorHAnsi"/>
                <w:noProof/>
              </w:rPr>
              <w:t>5.3 Consolidación preliminar de base única</w:t>
            </w:r>
            <w:r>
              <w:rPr>
                <w:noProof/>
                <w:webHidden/>
              </w:rPr>
              <w:tab/>
            </w:r>
            <w:r>
              <w:rPr>
                <w:noProof/>
                <w:webHidden/>
              </w:rPr>
              <w:fldChar w:fldCharType="begin"/>
            </w:r>
            <w:r>
              <w:rPr>
                <w:noProof/>
                <w:webHidden/>
              </w:rPr>
              <w:instrText xml:space="preserve"> PAGEREF _Toc225762008 \h </w:instrText>
            </w:r>
            <w:r>
              <w:rPr>
                <w:noProof/>
                <w:webHidden/>
              </w:rPr>
            </w:r>
            <w:r>
              <w:rPr>
                <w:noProof/>
                <w:webHidden/>
              </w:rPr>
              <w:fldChar w:fldCharType="separate"/>
            </w:r>
            <w:r>
              <w:rPr>
                <w:noProof/>
                <w:webHidden/>
              </w:rPr>
              <w:t>7</w:t>
            </w:r>
            <w:r>
              <w:rPr>
                <w:noProof/>
                <w:webHidden/>
              </w:rPr>
              <w:fldChar w:fldCharType="end"/>
            </w:r>
          </w:hyperlink>
        </w:p>
        <w:p w:rsidR="0096384F" w:rsidRDefault="0096384F" w14:paraId="4A2DC7B4" w14:textId="1DCD9F82">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09">
            <w:r w:rsidRPr="005A4260">
              <w:rPr>
                <w:rStyle w:val="Hipervnculo"/>
                <w:rFonts w:asciiTheme="majorHAnsi" w:hAnsiTheme="majorHAnsi"/>
                <w:noProof/>
              </w:rPr>
              <w:t>5.4 Integración de hallazgos del control semanal</w:t>
            </w:r>
            <w:r>
              <w:rPr>
                <w:noProof/>
                <w:webHidden/>
              </w:rPr>
              <w:tab/>
            </w:r>
            <w:r>
              <w:rPr>
                <w:noProof/>
                <w:webHidden/>
              </w:rPr>
              <w:fldChar w:fldCharType="begin"/>
            </w:r>
            <w:r>
              <w:rPr>
                <w:noProof/>
                <w:webHidden/>
              </w:rPr>
              <w:instrText xml:space="preserve"> PAGEREF _Toc225762009 \h </w:instrText>
            </w:r>
            <w:r>
              <w:rPr>
                <w:noProof/>
                <w:webHidden/>
              </w:rPr>
            </w:r>
            <w:r>
              <w:rPr>
                <w:noProof/>
                <w:webHidden/>
              </w:rPr>
              <w:fldChar w:fldCharType="separate"/>
            </w:r>
            <w:r>
              <w:rPr>
                <w:noProof/>
                <w:webHidden/>
              </w:rPr>
              <w:t>8</w:t>
            </w:r>
            <w:r>
              <w:rPr>
                <w:noProof/>
                <w:webHidden/>
              </w:rPr>
              <w:fldChar w:fldCharType="end"/>
            </w:r>
          </w:hyperlink>
        </w:p>
        <w:p w:rsidR="0096384F" w:rsidRDefault="0096384F" w14:paraId="5953117E" w14:textId="13E5C807">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0">
            <w:r w:rsidRPr="005A4260">
              <w:rPr>
                <w:rStyle w:val="Hipervnculo"/>
                <w:rFonts w:asciiTheme="majorHAnsi" w:hAnsiTheme="majorHAnsi"/>
                <w:noProof/>
              </w:rPr>
              <w:t>5.5 Validación específica de categorías “Otros” y “Teletrabajo”</w:t>
            </w:r>
            <w:r>
              <w:rPr>
                <w:noProof/>
                <w:webHidden/>
              </w:rPr>
              <w:tab/>
            </w:r>
            <w:r>
              <w:rPr>
                <w:noProof/>
                <w:webHidden/>
              </w:rPr>
              <w:fldChar w:fldCharType="begin"/>
            </w:r>
            <w:r>
              <w:rPr>
                <w:noProof/>
                <w:webHidden/>
              </w:rPr>
              <w:instrText xml:space="preserve"> PAGEREF _Toc225762010 \h </w:instrText>
            </w:r>
            <w:r>
              <w:rPr>
                <w:noProof/>
                <w:webHidden/>
              </w:rPr>
            </w:r>
            <w:r>
              <w:rPr>
                <w:noProof/>
                <w:webHidden/>
              </w:rPr>
              <w:fldChar w:fldCharType="separate"/>
            </w:r>
            <w:r>
              <w:rPr>
                <w:noProof/>
                <w:webHidden/>
              </w:rPr>
              <w:t>8</w:t>
            </w:r>
            <w:r>
              <w:rPr>
                <w:noProof/>
                <w:webHidden/>
              </w:rPr>
              <w:fldChar w:fldCharType="end"/>
            </w:r>
          </w:hyperlink>
        </w:p>
        <w:p w:rsidR="0096384F" w:rsidRDefault="0096384F" w14:paraId="62D2E517" w14:textId="797B2CFF">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1">
            <w:r w:rsidRPr="005A4260">
              <w:rPr>
                <w:rStyle w:val="Hipervnculo"/>
                <w:rFonts w:asciiTheme="majorHAnsi" w:hAnsiTheme="majorHAnsi"/>
                <w:noProof/>
              </w:rPr>
              <w:t>5.6 Conversión y estandarización a FTE</w:t>
            </w:r>
            <w:r>
              <w:rPr>
                <w:noProof/>
                <w:webHidden/>
              </w:rPr>
              <w:tab/>
            </w:r>
            <w:r>
              <w:rPr>
                <w:noProof/>
                <w:webHidden/>
              </w:rPr>
              <w:fldChar w:fldCharType="begin"/>
            </w:r>
            <w:r>
              <w:rPr>
                <w:noProof/>
                <w:webHidden/>
              </w:rPr>
              <w:instrText xml:space="preserve"> PAGEREF _Toc225762011 \h </w:instrText>
            </w:r>
            <w:r>
              <w:rPr>
                <w:noProof/>
                <w:webHidden/>
              </w:rPr>
            </w:r>
            <w:r>
              <w:rPr>
                <w:noProof/>
                <w:webHidden/>
              </w:rPr>
              <w:fldChar w:fldCharType="separate"/>
            </w:r>
            <w:r>
              <w:rPr>
                <w:noProof/>
                <w:webHidden/>
              </w:rPr>
              <w:t>8</w:t>
            </w:r>
            <w:r>
              <w:rPr>
                <w:noProof/>
                <w:webHidden/>
              </w:rPr>
              <w:fldChar w:fldCharType="end"/>
            </w:r>
          </w:hyperlink>
        </w:p>
        <w:p w:rsidR="0096384F" w:rsidRDefault="0096384F" w14:paraId="4FAB86C9" w14:textId="3C36B144">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2">
            <w:r w:rsidRPr="005A4260">
              <w:rPr>
                <w:rStyle w:val="Hipervnculo"/>
                <w:rFonts w:asciiTheme="majorHAnsi" w:hAnsiTheme="majorHAnsi"/>
                <w:noProof/>
              </w:rPr>
              <w:t>5.7 Conciliación dotacional mensual</w:t>
            </w:r>
            <w:r>
              <w:rPr>
                <w:noProof/>
                <w:webHidden/>
              </w:rPr>
              <w:tab/>
            </w:r>
            <w:r>
              <w:rPr>
                <w:noProof/>
                <w:webHidden/>
              </w:rPr>
              <w:fldChar w:fldCharType="begin"/>
            </w:r>
            <w:r>
              <w:rPr>
                <w:noProof/>
                <w:webHidden/>
              </w:rPr>
              <w:instrText xml:space="preserve"> PAGEREF _Toc225762012 \h </w:instrText>
            </w:r>
            <w:r>
              <w:rPr>
                <w:noProof/>
                <w:webHidden/>
              </w:rPr>
            </w:r>
            <w:r>
              <w:rPr>
                <w:noProof/>
                <w:webHidden/>
              </w:rPr>
              <w:fldChar w:fldCharType="separate"/>
            </w:r>
            <w:r>
              <w:rPr>
                <w:noProof/>
                <w:webHidden/>
              </w:rPr>
              <w:t>8</w:t>
            </w:r>
            <w:r>
              <w:rPr>
                <w:noProof/>
                <w:webHidden/>
              </w:rPr>
              <w:fldChar w:fldCharType="end"/>
            </w:r>
          </w:hyperlink>
        </w:p>
        <w:p w:rsidR="0096384F" w:rsidRDefault="0096384F" w14:paraId="025EA849" w14:textId="14B9DFC0">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3">
            <w:r w:rsidRPr="005A4260">
              <w:rPr>
                <w:rStyle w:val="Hipervnculo"/>
                <w:rFonts w:asciiTheme="majorHAnsi" w:hAnsiTheme="majorHAnsi"/>
                <w:noProof/>
              </w:rPr>
              <w:t>5.8 Análisis de tendencias dotacionales y comparación presupuestaria</w:t>
            </w:r>
            <w:r>
              <w:rPr>
                <w:noProof/>
                <w:webHidden/>
              </w:rPr>
              <w:tab/>
            </w:r>
            <w:r>
              <w:rPr>
                <w:noProof/>
                <w:webHidden/>
              </w:rPr>
              <w:fldChar w:fldCharType="begin"/>
            </w:r>
            <w:r>
              <w:rPr>
                <w:noProof/>
                <w:webHidden/>
              </w:rPr>
              <w:instrText xml:space="preserve"> PAGEREF _Toc225762013 \h </w:instrText>
            </w:r>
            <w:r>
              <w:rPr>
                <w:noProof/>
                <w:webHidden/>
              </w:rPr>
            </w:r>
            <w:r>
              <w:rPr>
                <w:noProof/>
                <w:webHidden/>
              </w:rPr>
              <w:fldChar w:fldCharType="separate"/>
            </w:r>
            <w:r>
              <w:rPr>
                <w:noProof/>
                <w:webHidden/>
              </w:rPr>
              <w:t>9</w:t>
            </w:r>
            <w:r>
              <w:rPr>
                <w:noProof/>
                <w:webHidden/>
              </w:rPr>
              <w:fldChar w:fldCharType="end"/>
            </w:r>
          </w:hyperlink>
        </w:p>
        <w:p w:rsidR="0096384F" w:rsidRDefault="0096384F" w14:paraId="046AB524" w14:textId="0092FB8D">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4">
            <w:r w:rsidRPr="005A4260">
              <w:rPr>
                <w:rStyle w:val="Hipervnculo"/>
                <w:rFonts w:asciiTheme="majorHAnsi" w:hAnsiTheme="majorHAnsi"/>
                <w:noProof/>
              </w:rPr>
              <w:t>5.9 Solicitud y evaluación de explicaciones</w:t>
            </w:r>
            <w:r>
              <w:rPr>
                <w:noProof/>
                <w:webHidden/>
              </w:rPr>
              <w:tab/>
            </w:r>
            <w:r>
              <w:rPr>
                <w:noProof/>
                <w:webHidden/>
              </w:rPr>
              <w:fldChar w:fldCharType="begin"/>
            </w:r>
            <w:r>
              <w:rPr>
                <w:noProof/>
                <w:webHidden/>
              </w:rPr>
              <w:instrText xml:space="preserve"> PAGEREF _Toc225762014 \h </w:instrText>
            </w:r>
            <w:r>
              <w:rPr>
                <w:noProof/>
                <w:webHidden/>
              </w:rPr>
            </w:r>
            <w:r>
              <w:rPr>
                <w:noProof/>
                <w:webHidden/>
              </w:rPr>
              <w:fldChar w:fldCharType="separate"/>
            </w:r>
            <w:r>
              <w:rPr>
                <w:noProof/>
                <w:webHidden/>
              </w:rPr>
              <w:t>9</w:t>
            </w:r>
            <w:r>
              <w:rPr>
                <w:noProof/>
                <w:webHidden/>
              </w:rPr>
              <w:fldChar w:fldCharType="end"/>
            </w:r>
          </w:hyperlink>
        </w:p>
        <w:p w:rsidR="0096384F" w:rsidRDefault="0096384F" w14:paraId="0CB3D789" w14:textId="3574F4A9">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5">
            <w:r w:rsidRPr="005A4260">
              <w:rPr>
                <w:rStyle w:val="Hipervnculo"/>
                <w:rFonts w:asciiTheme="majorHAnsi" w:hAnsiTheme="majorHAnsi"/>
                <w:noProof/>
              </w:rPr>
              <w:t>5.10 Clasificación y definición de acciones</w:t>
            </w:r>
            <w:r>
              <w:rPr>
                <w:noProof/>
                <w:webHidden/>
              </w:rPr>
              <w:tab/>
            </w:r>
            <w:r>
              <w:rPr>
                <w:noProof/>
                <w:webHidden/>
              </w:rPr>
              <w:fldChar w:fldCharType="begin"/>
            </w:r>
            <w:r>
              <w:rPr>
                <w:noProof/>
                <w:webHidden/>
              </w:rPr>
              <w:instrText xml:space="preserve"> PAGEREF _Toc225762015 \h </w:instrText>
            </w:r>
            <w:r>
              <w:rPr>
                <w:noProof/>
                <w:webHidden/>
              </w:rPr>
            </w:r>
            <w:r>
              <w:rPr>
                <w:noProof/>
                <w:webHidden/>
              </w:rPr>
              <w:fldChar w:fldCharType="separate"/>
            </w:r>
            <w:r>
              <w:rPr>
                <w:noProof/>
                <w:webHidden/>
              </w:rPr>
              <w:t>9</w:t>
            </w:r>
            <w:r>
              <w:rPr>
                <w:noProof/>
                <w:webHidden/>
              </w:rPr>
              <w:fldChar w:fldCharType="end"/>
            </w:r>
          </w:hyperlink>
        </w:p>
        <w:p w:rsidR="0096384F" w:rsidRDefault="0096384F" w14:paraId="6A6068BE" w14:textId="7FB7EB12">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6">
            <w:r w:rsidRPr="005A4260">
              <w:rPr>
                <w:rStyle w:val="Hipervnculo"/>
                <w:rFonts w:asciiTheme="majorHAnsi" w:hAnsiTheme="majorHAnsi"/>
                <w:noProof/>
              </w:rPr>
              <w:t>5.11 Formalización del dato FTE oficial</w:t>
            </w:r>
            <w:r>
              <w:rPr>
                <w:noProof/>
                <w:webHidden/>
              </w:rPr>
              <w:tab/>
            </w:r>
            <w:r>
              <w:rPr>
                <w:noProof/>
                <w:webHidden/>
              </w:rPr>
              <w:fldChar w:fldCharType="begin"/>
            </w:r>
            <w:r>
              <w:rPr>
                <w:noProof/>
                <w:webHidden/>
              </w:rPr>
              <w:instrText xml:space="preserve"> PAGEREF _Toc225762016 \h </w:instrText>
            </w:r>
            <w:r>
              <w:rPr>
                <w:noProof/>
                <w:webHidden/>
              </w:rPr>
            </w:r>
            <w:r>
              <w:rPr>
                <w:noProof/>
                <w:webHidden/>
              </w:rPr>
              <w:fldChar w:fldCharType="separate"/>
            </w:r>
            <w:r>
              <w:rPr>
                <w:noProof/>
                <w:webHidden/>
              </w:rPr>
              <w:t>10</w:t>
            </w:r>
            <w:r>
              <w:rPr>
                <w:noProof/>
                <w:webHidden/>
              </w:rPr>
              <w:fldChar w:fldCharType="end"/>
            </w:r>
          </w:hyperlink>
        </w:p>
        <w:p w:rsidR="0096384F" w:rsidRDefault="0096384F" w14:paraId="0F9F24A2" w14:textId="27DC4708">
          <w:pPr>
            <w:pStyle w:val="TDC2"/>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7">
            <w:r w:rsidRPr="005A4260">
              <w:rPr>
                <w:rStyle w:val="Hipervnculo"/>
                <w:rFonts w:asciiTheme="majorHAnsi" w:hAnsiTheme="majorHAnsi"/>
                <w:noProof/>
              </w:rPr>
              <w:t>5.12 Emisión de reporte y cierre formal</w:t>
            </w:r>
            <w:r>
              <w:rPr>
                <w:noProof/>
                <w:webHidden/>
              </w:rPr>
              <w:tab/>
            </w:r>
            <w:r>
              <w:rPr>
                <w:noProof/>
                <w:webHidden/>
              </w:rPr>
              <w:fldChar w:fldCharType="begin"/>
            </w:r>
            <w:r>
              <w:rPr>
                <w:noProof/>
                <w:webHidden/>
              </w:rPr>
              <w:instrText xml:space="preserve"> PAGEREF _Toc225762017 \h </w:instrText>
            </w:r>
            <w:r>
              <w:rPr>
                <w:noProof/>
                <w:webHidden/>
              </w:rPr>
            </w:r>
            <w:r>
              <w:rPr>
                <w:noProof/>
                <w:webHidden/>
              </w:rPr>
              <w:fldChar w:fldCharType="separate"/>
            </w:r>
            <w:r>
              <w:rPr>
                <w:noProof/>
                <w:webHidden/>
              </w:rPr>
              <w:t>10</w:t>
            </w:r>
            <w:r>
              <w:rPr>
                <w:noProof/>
                <w:webHidden/>
              </w:rPr>
              <w:fldChar w:fldCharType="end"/>
            </w:r>
          </w:hyperlink>
        </w:p>
        <w:p w:rsidR="0096384F" w:rsidRDefault="0096384F" w14:paraId="674D251A" w14:textId="69877646">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8">
            <w:r w:rsidRPr="005A4260">
              <w:rPr>
                <w:rStyle w:val="Hipervnculo"/>
                <w:rFonts w:asciiTheme="majorHAnsi" w:hAnsiTheme="majorHAnsi"/>
                <w:noProof/>
              </w:rPr>
              <w:t>6. Validación y formalización del cierre</w:t>
            </w:r>
            <w:r>
              <w:rPr>
                <w:noProof/>
                <w:webHidden/>
              </w:rPr>
              <w:tab/>
            </w:r>
            <w:r>
              <w:rPr>
                <w:noProof/>
                <w:webHidden/>
              </w:rPr>
              <w:fldChar w:fldCharType="begin"/>
            </w:r>
            <w:r>
              <w:rPr>
                <w:noProof/>
                <w:webHidden/>
              </w:rPr>
              <w:instrText xml:space="preserve"> PAGEREF _Toc225762018 \h </w:instrText>
            </w:r>
            <w:r>
              <w:rPr>
                <w:noProof/>
                <w:webHidden/>
              </w:rPr>
            </w:r>
            <w:r>
              <w:rPr>
                <w:noProof/>
                <w:webHidden/>
              </w:rPr>
              <w:fldChar w:fldCharType="separate"/>
            </w:r>
            <w:r>
              <w:rPr>
                <w:noProof/>
                <w:webHidden/>
              </w:rPr>
              <w:t>10</w:t>
            </w:r>
            <w:r>
              <w:rPr>
                <w:noProof/>
                <w:webHidden/>
              </w:rPr>
              <w:fldChar w:fldCharType="end"/>
            </w:r>
          </w:hyperlink>
        </w:p>
        <w:p w:rsidR="0096384F" w:rsidRDefault="0096384F" w14:paraId="159556E0" w14:textId="53AFEA50">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19">
            <w:r w:rsidRPr="005A4260">
              <w:rPr>
                <w:rStyle w:val="Hipervnculo"/>
                <w:rFonts w:asciiTheme="majorHAnsi" w:hAnsiTheme="majorHAnsi"/>
                <w:noProof/>
              </w:rPr>
              <w:t>7. Registro y trazabilidad</w:t>
            </w:r>
            <w:r>
              <w:rPr>
                <w:noProof/>
                <w:webHidden/>
              </w:rPr>
              <w:tab/>
            </w:r>
            <w:r>
              <w:rPr>
                <w:noProof/>
                <w:webHidden/>
              </w:rPr>
              <w:fldChar w:fldCharType="begin"/>
            </w:r>
            <w:r>
              <w:rPr>
                <w:noProof/>
                <w:webHidden/>
              </w:rPr>
              <w:instrText xml:space="preserve"> PAGEREF _Toc225762019 \h </w:instrText>
            </w:r>
            <w:r>
              <w:rPr>
                <w:noProof/>
                <w:webHidden/>
              </w:rPr>
            </w:r>
            <w:r>
              <w:rPr>
                <w:noProof/>
                <w:webHidden/>
              </w:rPr>
              <w:fldChar w:fldCharType="separate"/>
            </w:r>
            <w:r>
              <w:rPr>
                <w:noProof/>
                <w:webHidden/>
              </w:rPr>
              <w:t>10</w:t>
            </w:r>
            <w:r>
              <w:rPr>
                <w:noProof/>
                <w:webHidden/>
              </w:rPr>
              <w:fldChar w:fldCharType="end"/>
            </w:r>
          </w:hyperlink>
        </w:p>
        <w:p w:rsidR="0096384F" w:rsidRDefault="0096384F" w14:paraId="1D328F97" w14:textId="4D304F38">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20">
            <w:r w:rsidRPr="005A4260">
              <w:rPr>
                <w:rStyle w:val="Hipervnculo"/>
                <w:rFonts w:asciiTheme="majorHAnsi" w:hAnsiTheme="majorHAnsi"/>
                <w:noProof/>
              </w:rPr>
              <w:t>8. Relación con otros procesos</w:t>
            </w:r>
            <w:r>
              <w:rPr>
                <w:noProof/>
                <w:webHidden/>
              </w:rPr>
              <w:tab/>
            </w:r>
            <w:r>
              <w:rPr>
                <w:noProof/>
                <w:webHidden/>
              </w:rPr>
              <w:fldChar w:fldCharType="begin"/>
            </w:r>
            <w:r>
              <w:rPr>
                <w:noProof/>
                <w:webHidden/>
              </w:rPr>
              <w:instrText xml:space="preserve"> PAGEREF _Toc225762020 \h </w:instrText>
            </w:r>
            <w:r>
              <w:rPr>
                <w:noProof/>
                <w:webHidden/>
              </w:rPr>
            </w:r>
            <w:r>
              <w:rPr>
                <w:noProof/>
                <w:webHidden/>
              </w:rPr>
              <w:fldChar w:fldCharType="separate"/>
            </w:r>
            <w:r>
              <w:rPr>
                <w:noProof/>
                <w:webHidden/>
              </w:rPr>
              <w:t>11</w:t>
            </w:r>
            <w:r>
              <w:rPr>
                <w:noProof/>
                <w:webHidden/>
              </w:rPr>
              <w:fldChar w:fldCharType="end"/>
            </w:r>
          </w:hyperlink>
        </w:p>
        <w:p w:rsidR="0096384F" w:rsidRDefault="0096384F" w14:paraId="37BB60E2" w14:textId="51207426">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21">
            <w:r w:rsidRPr="005A4260">
              <w:rPr>
                <w:rStyle w:val="Hipervnculo"/>
                <w:rFonts w:asciiTheme="majorHAnsi" w:hAnsiTheme="majorHAnsi"/>
                <w:noProof/>
              </w:rPr>
              <w:t>9. Regla de no retroactividad</w:t>
            </w:r>
            <w:r>
              <w:rPr>
                <w:noProof/>
                <w:webHidden/>
              </w:rPr>
              <w:tab/>
            </w:r>
            <w:r>
              <w:rPr>
                <w:noProof/>
                <w:webHidden/>
              </w:rPr>
              <w:fldChar w:fldCharType="begin"/>
            </w:r>
            <w:r>
              <w:rPr>
                <w:noProof/>
                <w:webHidden/>
              </w:rPr>
              <w:instrText xml:space="preserve"> PAGEREF _Toc225762021 \h </w:instrText>
            </w:r>
            <w:r>
              <w:rPr>
                <w:noProof/>
                <w:webHidden/>
              </w:rPr>
            </w:r>
            <w:r>
              <w:rPr>
                <w:noProof/>
                <w:webHidden/>
              </w:rPr>
              <w:fldChar w:fldCharType="separate"/>
            </w:r>
            <w:r>
              <w:rPr>
                <w:noProof/>
                <w:webHidden/>
              </w:rPr>
              <w:t>11</w:t>
            </w:r>
            <w:r>
              <w:rPr>
                <w:noProof/>
                <w:webHidden/>
              </w:rPr>
              <w:fldChar w:fldCharType="end"/>
            </w:r>
          </w:hyperlink>
        </w:p>
        <w:p w:rsidR="0096384F" w:rsidRDefault="0096384F" w14:paraId="2A808D74" w14:textId="65EAFB61">
          <w:pPr>
            <w:pStyle w:val="TDC1"/>
            <w:tabs>
              <w:tab w:val="right" w:leader="dot" w:pos="9019"/>
            </w:tabs>
            <w:rPr>
              <w:rFonts w:asciiTheme="minorHAnsi" w:hAnsiTheme="minorHAnsi" w:eastAsiaTheme="minorEastAsia" w:cstheme="minorBidi"/>
              <w:noProof/>
              <w:kern w:val="2"/>
              <w:sz w:val="24"/>
              <w:szCs w:val="24"/>
              <w:lang w:val="es-CL"/>
              <w14:ligatures w14:val="standardContextual"/>
            </w:rPr>
          </w:pPr>
          <w:hyperlink w:history="1" w:anchor="_Toc225762022">
            <w:r w:rsidRPr="005A4260">
              <w:rPr>
                <w:rStyle w:val="Hipervnculo"/>
                <w:rFonts w:asciiTheme="majorHAnsi" w:hAnsiTheme="majorHAnsi"/>
                <w:noProof/>
              </w:rPr>
              <w:t>10. Regla clave</w:t>
            </w:r>
            <w:r>
              <w:rPr>
                <w:noProof/>
                <w:webHidden/>
              </w:rPr>
              <w:tab/>
            </w:r>
            <w:r>
              <w:rPr>
                <w:noProof/>
                <w:webHidden/>
              </w:rPr>
              <w:fldChar w:fldCharType="begin"/>
            </w:r>
            <w:r>
              <w:rPr>
                <w:noProof/>
                <w:webHidden/>
              </w:rPr>
              <w:instrText xml:space="preserve"> PAGEREF _Toc225762022 \h </w:instrText>
            </w:r>
            <w:r>
              <w:rPr>
                <w:noProof/>
                <w:webHidden/>
              </w:rPr>
            </w:r>
            <w:r>
              <w:rPr>
                <w:noProof/>
                <w:webHidden/>
              </w:rPr>
              <w:fldChar w:fldCharType="separate"/>
            </w:r>
            <w:r>
              <w:rPr>
                <w:noProof/>
                <w:webHidden/>
              </w:rPr>
              <w:t>11</w:t>
            </w:r>
            <w:r>
              <w:rPr>
                <w:noProof/>
                <w:webHidden/>
              </w:rPr>
              <w:fldChar w:fldCharType="end"/>
            </w:r>
          </w:hyperlink>
        </w:p>
        <w:p w:rsidR="00D7016D" w:rsidRDefault="00D7016D" w14:paraId="774E7015" w14:textId="20BF5C55">
          <w:pPr>
            <w:rPr>
              <w:b/>
              <w:bCs/>
              <w:lang w:val="es-ES"/>
            </w:rPr>
          </w:pPr>
          <w:r>
            <w:rPr>
              <w:b/>
              <w:bCs/>
              <w:lang w:val="es-ES"/>
            </w:rPr>
            <w:fldChar w:fldCharType="end"/>
          </w:r>
        </w:p>
      </w:sdtContent>
    </w:sdt>
    <w:p w:rsidR="003A09B5" w:rsidRDefault="003A09B5" w14:paraId="76300BA7" w14:textId="77777777">
      <w:pPr>
        <w:rPr>
          <w:b/>
          <w:bCs/>
          <w:lang w:val="es-ES"/>
        </w:rPr>
      </w:pPr>
    </w:p>
    <w:p w:rsidR="003A09B5" w:rsidRDefault="003A09B5" w14:paraId="15A55733" w14:textId="77777777">
      <w:pPr>
        <w:rPr>
          <w:b/>
          <w:bCs/>
          <w:lang w:val="es-ES"/>
        </w:rPr>
      </w:pPr>
    </w:p>
    <w:p w:rsidR="003A09B5" w:rsidRDefault="003A09B5" w14:paraId="331B5F86" w14:textId="77777777">
      <w:pPr>
        <w:rPr>
          <w:b/>
          <w:bCs/>
          <w:lang w:val="es-ES"/>
        </w:rPr>
      </w:pPr>
    </w:p>
    <w:p w:rsidR="003A09B5" w:rsidRDefault="003A09B5" w14:paraId="047D6005" w14:textId="77777777">
      <w:pPr>
        <w:rPr>
          <w:b/>
          <w:bCs/>
          <w:lang w:val="es-ES"/>
        </w:rPr>
      </w:pPr>
    </w:p>
    <w:p w:rsidR="003A09B5" w:rsidRDefault="003A09B5" w14:paraId="0B652D2A" w14:textId="77777777">
      <w:pPr>
        <w:rPr>
          <w:b/>
          <w:bCs/>
          <w:lang w:val="es-ES"/>
        </w:rPr>
      </w:pPr>
    </w:p>
    <w:p w:rsidR="003A09B5" w:rsidRDefault="003A09B5" w14:paraId="332C6C15" w14:textId="77777777"/>
    <w:p w:rsidR="00D95800" w:rsidRDefault="00D95800" w14:paraId="689245B0" w14:textId="77777777"/>
    <w:p w:rsidR="00D95800" w:rsidRDefault="00D95800" w14:paraId="603328BC" w14:textId="77777777"/>
    <w:p w:rsidR="00D95800" w:rsidRDefault="00D95800" w14:paraId="3CA9F80E" w14:textId="77777777"/>
    <w:p w:rsidR="00D95800" w:rsidRDefault="00D95800" w14:paraId="39BD34B5" w14:textId="77777777"/>
    <w:p w:rsidRPr="0042511E" w:rsidR="000A6052" w:rsidP="00D95800" w:rsidRDefault="00E6057B" w14:paraId="1A9F17A4" w14:textId="2818F984">
      <w:pPr>
        <w:pStyle w:val="Ttulo1"/>
        <w:spacing w:line="240" w:lineRule="auto"/>
        <w:jc w:val="both"/>
        <w:rPr>
          <w:rFonts w:asciiTheme="majorHAnsi" w:hAnsiTheme="majorHAnsi"/>
          <w:color w:val="31849B" w:themeColor="accent5" w:themeShade="BF"/>
          <w:sz w:val="22"/>
          <w:szCs w:val="32"/>
        </w:rPr>
      </w:pPr>
      <w:bookmarkStart w:name="_Toc225762001" w:id="2"/>
      <w:r>
        <w:rPr>
          <w:rFonts w:asciiTheme="majorHAnsi" w:hAnsiTheme="majorHAnsi"/>
          <w:color w:val="31849B" w:themeColor="accent5" w:themeShade="BF"/>
          <w:sz w:val="22"/>
          <w:szCs w:val="32"/>
        </w:rPr>
        <w:t xml:space="preserve">1. </w:t>
      </w:r>
      <w:commentRangeStart w:id="3"/>
      <w:r>
        <w:rPr>
          <w:rFonts w:asciiTheme="majorHAnsi" w:hAnsiTheme="majorHAnsi"/>
          <w:color w:val="31849B" w:themeColor="accent5" w:themeShade="BF"/>
          <w:sz w:val="22"/>
          <w:szCs w:val="32"/>
        </w:rPr>
        <w:t>Objetivo</w:t>
      </w:r>
      <w:bookmarkEnd w:id="2"/>
      <w:commentRangeEnd w:id="3"/>
      <w:r w:rsidRPr="0042511E">
        <w:rPr>
          <w:rStyle w:val="Refdecomentario"/>
          <w:rFonts w:asciiTheme="majorHAnsi" w:hAnsiTheme="majorHAnsi"/>
          <w:color w:val="31849B" w:themeColor="accent5" w:themeShade="BF"/>
          <w:sz w:val="22"/>
          <w:szCs w:val="32"/>
        </w:rPr>
        <w:commentReference w:id="3"/>
      </w:r>
    </w:p>
    <w:p w:rsidRPr="00D368B9" w:rsidR="005405DA" w:rsidP="00D368B9" w:rsidRDefault="005405DA" w14:paraId="28D419FD" w14:textId="1AA62699">
      <w:pPr>
        <w:rPr>
          <w:rFonts w:asciiTheme="majorHAnsi" w:hAnsiTheme="majorHAnsi" w:cstheme="majorHAnsi"/>
          <w:lang w:val="es-ES"/>
        </w:rPr>
      </w:pPr>
      <w:r>
        <w:rPr>
          <w:rFonts w:asciiTheme="majorHAnsi" w:hAnsiTheme="majorHAnsi" w:cstheme="majorHAnsi"/>
          <w:lang w:val="es-ES"/>
        </w:rPr>
        <w:t>El presente instructivo tiene por objetivo establecer el marco para la ejecución del cierre mensual de dotación FTE de servicios terceros, asegurando la existencia de un dato único, validado y trazable, que constituya la base oficial para el control y cumplimiento presupuestario, la gestión contractual, la reportabilidad corporativa y la elaboración del Outlook dotacional.</w:t>
      </w:r>
    </w:p>
    <w:p w:rsidRPr="00D368B9" w:rsidR="005405DA" w:rsidP="00D368B9" w:rsidRDefault="005405DA" w14:paraId="33653EF3" w14:textId="77777777">
      <w:pPr>
        <w:rPr>
          <w:rFonts w:asciiTheme="majorHAnsi" w:hAnsiTheme="majorHAnsi" w:cstheme="majorHAnsi"/>
          <w:lang w:val="es-ES"/>
        </w:rPr>
      </w:pPr>
    </w:p>
    <w:p w:rsidRPr="00D368B9" w:rsidR="005405DA" w:rsidP="00D368B9" w:rsidRDefault="005405DA" w14:paraId="4DEB7910" w14:textId="1706F168">
      <w:pPr>
        <w:rPr>
          <w:rFonts w:asciiTheme="majorHAnsi" w:hAnsiTheme="majorHAnsi" w:cstheme="majorHAnsi"/>
          <w:lang w:val="es-ES"/>
        </w:rPr>
      </w:pPr>
      <w:r>
        <w:rPr>
          <w:rFonts w:asciiTheme="majorHAnsi" w:hAnsiTheme="majorHAnsi" w:cstheme="majorHAnsi"/>
          <w:lang w:val="es-ES"/>
        </w:rPr>
        <w:t>El cierre mensual representa la instancia formal de consolidación y validación de la dotación FTE del período, fijando el dato oficial que permite evaluar el desempeño del contrato, analizar desviaciones, proyectar escenarios futuros y resguardar la disciplina dotacional de la Compañía.</w:t>
      </w:r>
    </w:p>
    <w:p w:rsidRPr="00D368B9" w:rsidR="005405DA" w:rsidP="00D368B9" w:rsidRDefault="005405DA" w14:paraId="284427B5" w14:textId="77777777">
      <w:pPr>
        <w:rPr>
          <w:rFonts w:asciiTheme="majorHAnsi" w:hAnsiTheme="majorHAnsi" w:cstheme="majorHAnsi"/>
          <w:lang w:val="es-ES"/>
        </w:rPr>
      </w:pPr>
    </w:p>
    <w:p w:rsidRPr="00D368B9" w:rsidR="005405DA" w:rsidP="00D368B9" w:rsidRDefault="005405DA" w14:paraId="03939610" w14:textId="2FB09320">
      <w:pPr>
        <w:rPr>
          <w:rFonts w:asciiTheme="majorHAnsi" w:hAnsiTheme="majorHAnsi" w:cstheme="majorHAnsi"/>
          <w:lang w:val="es-ES"/>
        </w:rPr>
      </w:pPr>
      <w:r>
        <w:rPr>
          <w:rFonts w:asciiTheme="majorHAnsi" w:hAnsiTheme="majorHAnsi" w:cstheme="majorHAnsi"/>
          <w:lang w:val="es-ES"/>
        </w:rPr>
        <w:t>En este contexto, el cierre mensual no solo cumple una función administrativa, sino que constituye un hito de gobernanza que ordena el sistema de gestión dotacional y define el punto de partida para la toma de decisiones posteriores.</w:t>
      </w:r>
    </w:p>
    <w:p w:rsidRPr="00D368B9" w:rsidR="005405DA" w:rsidP="00D368B9" w:rsidRDefault="005405DA" w14:paraId="6EB8EF37" w14:textId="77777777">
      <w:pPr>
        <w:rPr>
          <w:rFonts w:asciiTheme="majorHAnsi" w:hAnsiTheme="majorHAnsi" w:cstheme="majorHAnsi"/>
          <w:lang w:val="es-ES"/>
        </w:rPr>
      </w:pPr>
    </w:p>
    <w:p w:rsidRPr="00D368B9" w:rsidR="005405DA" w:rsidP="00D368B9" w:rsidRDefault="005405DA" w14:paraId="35F66015" w14:textId="77777777">
      <w:pPr>
        <w:rPr>
          <w:rFonts w:asciiTheme="majorHAnsi" w:hAnsiTheme="majorHAnsi" w:cstheme="majorHAnsi"/>
          <w:lang w:val="es-ES"/>
        </w:rPr>
      </w:pPr>
      <w:r>
        <w:rPr>
          <w:rFonts w:asciiTheme="majorHAnsi" w:hAnsiTheme="majorHAnsi" w:cstheme="majorHAnsi"/>
          <w:lang w:val="es-ES"/>
        </w:rPr>
        <w:t>Asimismo, el cierre mensual se construye sobre la base del control semanal de dotación FTE, el cual actúa como instancia previa de seguimiento, detección de desviaciones y generación de alertas tempranas. En este contexto, el proceso mensual consolida, profundiza y valida los hallazgos identificados durante el período, asegurando continuidad analítica, trazabilidad del dato y consistencia en la gestión de desviaciones.</w:t>
      </w:r>
    </w:p>
    <w:p w:rsidRPr="0042511E" w:rsidR="000A6052" w:rsidP="005405DA" w:rsidRDefault="00E6057B" w14:paraId="5FDCEE34" w14:textId="75075936">
      <w:pPr>
        <w:pStyle w:val="Ttulo1"/>
        <w:spacing w:line="240" w:lineRule="auto"/>
        <w:jc w:val="both"/>
        <w:rPr>
          <w:rFonts w:asciiTheme="majorHAnsi" w:hAnsiTheme="majorHAnsi"/>
          <w:color w:val="31849B" w:themeColor="accent5" w:themeShade="BF"/>
          <w:sz w:val="22"/>
          <w:szCs w:val="32"/>
        </w:rPr>
      </w:pPr>
      <w:bookmarkStart w:name="_Toc225762002" w:id="4"/>
      <w:commentRangeStart w:id="5"/>
      <w:commentRangeStart w:id="6"/>
      <w:commentRangeStart w:id="7"/>
      <w:r>
        <w:rPr>
          <w:rFonts w:asciiTheme="majorHAnsi" w:hAnsiTheme="majorHAnsi"/>
          <w:color w:val="31849B" w:themeColor="accent5" w:themeShade="BF"/>
          <w:sz w:val="22"/>
          <w:szCs w:val="32"/>
        </w:rPr>
        <w:t>2. Alcance y aplicación</w:t>
      </w:r>
      <w:bookmarkEnd w:id="4"/>
      <w:commentRangeEnd w:id="7"/>
      <w:r w:rsidRPr="0042511E">
        <w:rPr>
          <w:rStyle w:val="Refdecomentario"/>
          <w:rFonts w:asciiTheme="majorHAnsi" w:hAnsiTheme="majorHAnsi"/>
          <w:color w:val="31849B" w:themeColor="accent5" w:themeShade="BF"/>
          <w:sz w:val="22"/>
          <w:szCs w:val="32"/>
        </w:rPr>
        <w:commentReference w:id="7"/>
      </w:r>
      <w:commentRangeEnd w:id="6"/>
      <w:r w:rsidRPr="0042511E">
        <w:rPr>
          <w:rStyle w:val="Refdecomentario"/>
          <w:rFonts w:asciiTheme="majorHAnsi" w:hAnsiTheme="majorHAnsi"/>
          <w:color w:val="31849B" w:themeColor="accent5" w:themeShade="BF"/>
          <w:sz w:val="22"/>
          <w:szCs w:val="32"/>
        </w:rPr>
        <w:commentReference w:id="6"/>
      </w:r>
      <w:commentRangeEnd w:id="5"/>
      <w:r w:rsidRPr="0042511E">
        <w:rPr>
          <w:rStyle w:val="Refdecomentario"/>
          <w:rFonts w:asciiTheme="majorHAnsi" w:hAnsiTheme="majorHAnsi"/>
          <w:color w:val="31849B" w:themeColor="accent5" w:themeShade="BF"/>
          <w:sz w:val="22"/>
          <w:szCs w:val="32"/>
        </w:rPr>
        <w:commentReference w:id="5"/>
      </w:r>
    </w:p>
    <w:p w:rsidRPr="00EE17F7" w:rsidR="00EE17F7" w:rsidP="00EE17F7" w:rsidRDefault="00EE17F7" w14:paraId="7963AA4A" w14:textId="77777777">
      <w:pPr>
        <w:rPr>
          <w:rFonts w:asciiTheme="majorHAnsi" w:hAnsiTheme="majorHAnsi" w:cstheme="majorHAnsi"/>
          <w:lang w:val="es-CL"/>
        </w:rPr>
      </w:pPr>
      <w:r>
        <w:rPr>
          <w:rFonts w:asciiTheme="majorHAnsi" w:hAnsiTheme="majorHAnsi" w:cstheme="majorHAnsi"/>
          <w:lang w:val="es-CL"/>
        </w:rPr>
        <w:t>Este instructivo aplica al proceso de cierre mensual de la dotación FTE correspondiente a servicios de terceros financiados con cargo a OPEX y CAPEX.</w:t>
      </w:r>
    </w:p>
    <w:p w:rsidRPr="00EE17F7" w:rsidR="00EE17F7" w:rsidP="00EE17F7" w:rsidRDefault="00EE17F7" w14:paraId="7F88D410" w14:textId="77777777">
      <w:pPr>
        <w:rPr>
          <w:rFonts w:asciiTheme="majorHAnsi" w:hAnsiTheme="majorHAnsi" w:cstheme="majorHAnsi"/>
          <w:lang w:val="es-CL"/>
        </w:rPr>
      </w:pPr>
      <w:r>
        <w:rPr>
          <w:rFonts w:asciiTheme="majorHAnsi" w:hAnsiTheme="majorHAnsi" w:cstheme="majorHAnsi"/>
          <w:lang w:val="es-CL"/>
        </w:rPr>
        <w:t>El procedimiento considera la consolidación de la dotación ejecutada en contratos vigentes y en operación, incluyendo las distintas categorías de dotación definidas por la compañía, tales como:</w:t>
      </w:r>
    </w:p>
    <w:p w:rsidRPr="00EE17F7" w:rsidR="00EE17F7" w:rsidP="00EE17F7" w:rsidRDefault="00EE17F7" w14:paraId="3F3C5B54" w14:textId="147023BD">
      <w:pPr>
        <w:numPr>
          <w:ilvl w:val="0"/>
          <w:numId w:val="10"/>
        </w:numPr>
        <w:rPr>
          <w:rFonts w:asciiTheme="majorHAnsi" w:hAnsiTheme="majorHAnsi" w:cstheme="majorHAnsi"/>
          <w:lang w:val="es-CL"/>
        </w:rPr>
      </w:pPr>
      <w:r>
        <w:rPr>
          <w:rFonts w:asciiTheme="majorHAnsi" w:hAnsiTheme="majorHAnsi" w:cstheme="majorHAnsi"/>
          <w:lang w:val="es-CL"/>
        </w:rPr>
        <w:t>Dotación permanente</w:t>
      </w:r>
    </w:p>
    <w:p w:rsidRPr="00EE17F7" w:rsidR="00EE17F7" w:rsidP="00EE17F7" w:rsidRDefault="00EE17F7" w14:paraId="0988868D" w14:textId="01752843">
      <w:pPr>
        <w:numPr>
          <w:ilvl w:val="0"/>
          <w:numId w:val="10"/>
        </w:numPr>
        <w:rPr>
          <w:rFonts w:asciiTheme="majorHAnsi" w:hAnsiTheme="majorHAnsi" w:cstheme="majorHAnsi"/>
          <w:lang w:val="es-CL"/>
        </w:rPr>
      </w:pPr>
      <w:r>
        <w:rPr>
          <w:rFonts w:asciiTheme="majorHAnsi" w:hAnsiTheme="majorHAnsi" w:cstheme="majorHAnsi"/>
          <w:lang w:val="es-CL"/>
        </w:rPr>
        <w:t>Dotación temporal</w:t>
      </w:r>
    </w:p>
    <w:p w:rsidRPr="00EE17F7" w:rsidR="00EE17F7" w:rsidP="00EE17F7" w:rsidRDefault="00EE17F7" w14:paraId="559E8B50" w14:textId="523F4C84">
      <w:pPr>
        <w:numPr>
          <w:ilvl w:val="0"/>
          <w:numId w:val="10"/>
        </w:numPr>
        <w:rPr>
          <w:rFonts w:asciiTheme="majorHAnsi" w:hAnsiTheme="majorHAnsi" w:cstheme="majorHAnsi"/>
          <w:lang w:val="es-CL"/>
        </w:rPr>
      </w:pPr>
      <w:r>
        <w:rPr>
          <w:rFonts w:asciiTheme="majorHAnsi" w:hAnsiTheme="majorHAnsi" w:cstheme="majorHAnsi"/>
          <w:lang w:val="es-CL"/>
        </w:rPr>
        <w:t>Otros</w:t>
      </w:r>
    </w:p>
    <w:p w:rsidRPr="00EE17F7" w:rsidR="00EE17F7" w:rsidP="00EE17F7" w:rsidRDefault="00EE17F7" w14:paraId="3E536FD4" w14:textId="505B8AAF">
      <w:pPr>
        <w:numPr>
          <w:ilvl w:val="0"/>
          <w:numId w:val="10"/>
        </w:numPr>
        <w:rPr>
          <w:rFonts w:asciiTheme="majorHAnsi" w:hAnsiTheme="majorHAnsi" w:cstheme="majorHAnsi"/>
          <w:lang w:val="es-CL"/>
        </w:rPr>
      </w:pPr>
      <w:r>
        <w:rPr>
          <w:rFonts w:asciiTheme="majorHAnsi" w:hAnsiTheme="majorHAnsi" w:cstheme="majorHAnsi"/>
          <w:lang w:val="es-CL"/>
        </w:rPr>
        <w:t>Teletrabajo</w:t>
      </w:r>
    </w:p>
    <w:p w:rsidRPr="00EE17F7" w:rsidR="00EE17F7" w:rsidP="00EE17F7" w:rsidRDefault="00EE17F7" w14:paraId="21F5E3D8" w14:textId="77777777">
      <w:pPr>
        <w:rPr>
          <w:rFonts w:asciiTheme="majorHAnsi" w:hAnsiTheme="majorHAnsi" w:cstheme="majorHAnsi"/>
          <w:lang w:val="es-CL"/>
        </w:rPr>
      </w:pPr>
      <w:r>
        <w:rPr>
          <w:rFonts w:asciiTheme="majorHAnsi" w:hAnsiTheme="majorHAnsi" w:cstheme="majorHAnsi"/>
          <w:lang w:val="es-CL"/>
        </w:rPr>
        <w:t>El cierre mensual consolida la información correspondiente al período ejecutado y establece el dato oficial de dotación FTE del mes, el cual será utilizado como referencia para análisis de gestión y control presupuestario.</w:t>
      </w:r>
    </w:p>
    <w:p w:rsidRPr="0088586B" w:rsidR="00EE17F7" w:rsidP="00EE17F7" w:rsidRDefault="00EE17F7" w14:paraId="2A374969" w14:textId="77777777">
      <w:pPr>
        <w:rPr>
          <w:rFonts w:asciiTheme="majorHAnsi" w:hAnsiTheme="majorHAnsi" w:cstheme="majorHAnsi"/>
        </w:rPr>
      </w:pPr>
    </w:p>
    <w:p w:rsidRPr="0088586B" w:rsidR="000A6052" w:rsidP="51AA01F1" w:rsidRDefault="00166E2D" w14:paraId="27584E26" w14:textId="7598F8FC">
      <w:pPr>
        <w:spacing w:line="240" w:lineRule="auto"/>
        <w:jc w:val="both"/>
        <w:rPr>
          <w:rFonts w:eastAsia="Calibri" w:asciiTheme="majorHAnsi" w:hAnsiTheme="majorHAnsi" w:cstheme="majorHAnsi"/>
          <w:lang w:val="es-ES"/>
        </w:rPr>
      </w:pPr>
      <w:r>
        <w:rPr>
          <w:rFonts w:eastAsia="Calibri" w:asciiTheme="majorHAnsi" w:hAnsiTheme="majorHAnsi" w:cstheme="majorHAnsi"/>
          <w:lang w:val="es-ES"/>
        </w:rPr>
        <w:t>***Tener informe de fuerza laboral, RRLL lo emite. (no sacamos info de siga para otros y teletrabajo, asegurar y ver la calidad de la info con este informe)</w:t>
      </w:r>
    </w:p>
    <w:p w:rsidR="000A6052" w:rsidRDefault="00E6057B" w14:paraId="783316D6" w14:textId="77777777">
      <w:pPr>
        <w:spacing w:line="240" w:lineRule="auto"/>
        <w:jc w:val="both"/>
        <w:rPr>
          <w:rFonts w:eastAsia="Calibri" w:asciiTheme="majorHAnsi" w:hAnsiTheme="majorHAnsi" w:cstheme="majorHAnsi"/>
        </w:rPr>
      </w:pPr>
      <w:r>
        <w:rPr>
          <w:rFonts w:eastAsia="Calibri" w:asciiTheme="majorHAnsi" w:hAnsiTheme="majorHAnsi" w:cstheme="majorHAnsi"/>
        </w:rPr>
        <w:t>Paso a paso con flujos.</w:t>
      </w:r>
    </w:p>
    <w:p w:rsidRPr="0088586B" w:rsidR="00591E00" w:rsidRDefault="00591E00" w14:paraId="0BB3DCD7" w14:textId="77777777">
      <w:pPr>
        <w:spacing w:line="240" w:lineRule="auto"/>
        <w:jc w:val="both"/>
        <w:rPr>
          <w:rFonts w:eastAsia="Calibri" w:asciiTheme="majorHAnsi" w:hAnsiTheme="majorHAnsi" w:cstheme="majorHAnsi"/>
        </w:rPr>
      </w:pPr>
    </w:p>
    <w:p w:rsidRPr="00591E00" w:rsidR="000A6052" w:rsidP="00D95800" w:rsidRDefault="00E6057B" w14:paraId="5B000874" w14:textId="5D27DD85">
      <w:pPr>
        <w:pStyle w:val="Ttulo1"/>
        <w:spacing w:line="240" w:lineRule="auto"/>
        <w:jc w:val="both"/>
        <w:rPr>
          <w:rFonts w:asciiTheme="majorHAnsi" w:hAnsiTheme="majorHAnsi"/>
          <w:color w:val="31849B" w:themeColor="accent5" w:themeShade="BF"/>
          <w:sz w:val="22"/>
          <w:szCs w:val="32"/>
        </w:rPr>
      </w:pPr>
      <w:bookmarkStart w:name="_Toc225762003" w:id="8"/>
      <w:r>
        <w:rPr>
          <w:rFonts w:asciiTheme="majorHAnsi" w:hAnsiTheme="majorHAnsi"/>
          <w:color w:val="31849B" w:themeColor="accent5" w:themeShade="BF"/>
          <w:sz w:val="22"/>
          <w:szCs w:val="32"/>
        </w:rPr>
        <w:t>3. Roles y responsabilidades</w:t>
      </w:r>
      <w:bookmarkEnd w:id="8"/>
    </w:p>
    <w:p w:rsidRPr="0088586B" w:rsidR="000A6052" w:rsidP="51AA01F1" w:rsidRDefault="00E6057B" w14:paraId="2B512C86" w14:textId="3C3E8D8B">
      <w:pPr>
        <w:spacing w:before="240" w:after="240" w:line="240" w:lineRule="auto"/>
        <w:jc w:val="both"/>
        <w:rPr>
          <w:rFonts w:eastAsia="Calibri" w:asciiTheme="majorHAnsi" w:hAnsiTheme="majorHAnsi" w:cstheme="majorHAnsi"/>
          <w:lang w:val="es-ES"/>
        </w:rPr>
      </w:pPr>
      <w:r>
        <w:rPr>
          <w:rFonts w:eastAsia="Calibri" w:asciiTheme="majorHAnsi" w:hAnsiTheme="majorHAnsi" w:cstheme="majorHAnsi"/>
          <w:lang w:val="es-ES"/>
        </w:rPr>
        <w:t>El Backoffice de GST y las áreas responsables de la información laboral son responsables de consolidar la información mensual de dotación real a partir de las fuentes oficiales definidas en el procedimiento vigente, resguardando la integridad, consistencia y completitud de los registros.</w:t>
      </w:r>
    </w:p>
    <w:p w:rsidRPr="0088586B" w:rsidR="000A6052" w:rsidP="51AA01F1" w:rsidRDefault="00E6057B" w14:paraId="6425D71C" w14:textId="77777777">
      <w:pPr>
        <w:spacing w:before="240" w:after="240" w:line="240" w:lineRule="auto"/>
        <w:jc w:val="both"/>
        <w:rPr>
          <w:rFonts w:eastAsia="Calibri" w:asciiTheme="majorHAnsi" w:hAnsiTheme="majorHAnsi" w:cstheme="majorHAnsi"/>
          <w:lang w:val="es-ES"/>
        </w:rPr>
      </w:pPr>
      <w:r>
        <w:rPr>
          <w:rFonts w:eastAsia="Calibri" w:asciiTheme="majorHAnsi" w:hAnsiTheme="majorHAnsi" w:cstheme="majorHAnsi"/>
          <w:lang w:val="es-ES"/>
        </w:rPr>
        <w:t>El AdC MLP es responsable de revisar las desviaciones detectadas durante el período, entregar explicaciones operativas formales y validar la información desde la perspectiva contractual y operacional, asegurando que las causas informadas representen fielmente la ejecución del servicio.</w:t>
      </w:r>
    </w:p>
    <w:p w:rsidRPr="0088586B" w:rsidR="000A6052" w:rsidP="00EC5B8D" w:rsidRDefault="00E6057B" w14:paraId="7B0A63C8" w14:textId="70D18665">
      <w:pPr>
        <w:spacing w:before="240" w:after="240" w:line="240" w:lineRule="auto"/>
        <w:jc w:val="both"/>
        <w:rPr>
          <w:rFonts w:eastAsia="Calibri" w:asciiTheme="majorHAnsi" w:hAnsiTheme="majorHAnsi" w:cstheme="majorHAnsi"/>
        </w:rPr>
      </w:pPr>
      <w:r>
        <w:rPr>
          <w:rFonts w:eastAsia="Calibri" w:asciiTheme="majorHAnsi" w:hAnsiTheme="majorHAnsi" w:cstheme="majorHAnsi"/>
        </w:rPr>
        <w:t>GST es responsable de evaluar dichas explicaciones, validar la clasificación final de las desviaciones, resguardar la coherencia con el presupuesto aprobado y formalizar el dato FTE oficial del mes, actuando como garante del cierre mensual.</w:t>
      </w:r>
    </w:p>
    <w:p w:rsidRPr="00D368B9" w:rsidR="001F11E9" w:rsidP="00D368B9" w:rsidRDefault="00E6057B" w14:paraId="28F27B4B" w14:textId="5E689C50">
      <w:pPr>
        <w:pStyle w:val="Ttulo1"/>
        <w:spacing w:before="0" w:line="240" w:lineRule="auto"/>
        <w:jc w:val="both"/>
        <w:rPr>
          <w:rFonts w:asciiTheme="majorHAnsi" w:hAnsiTheme="majorHAnsi"/>
          <w:color w:val="31849B" w:themeColor="accent5" w:themeShade="BF"/>
          <w:sz w:val="22"/>
          <w:szCs w:val="32"/>
        </w:rPr>
      </w:pPr>
      <w:bookmarkStart w:name="_Toc225762004" w:id="9"/>
      <w:r>
        <w:rPr>
          <w:rFonts w:asciiTheme="majorHAnsi" w:hAnsiTheme="majorHAnsi"/>
          <w:color w:val="31849B" w:themeColor="accent5" w:themeShade="BF"/>
          <w:sz w:val="22"/>
          <w:szCs w:val="32"/>
        </w:rPr>
        <w:t>4. Principios del cierre mensual</w:t>
      </w:r>
      <w:bookmarkEnd w:id="9"/>
    </w:p>
    <w:p w:rsidRPr="00D368B9" w:rsidR="0095323F" w:rsidP="00D368B9" w:rsidRDefault="0095323F" w14:paraId="738059A7" w14:textId="52CB64E9">
      <w:pPr>
        <w:rPr>
          <w:rFonts w:asciiTheme="majorHAnsi" w:hAnsiTheme="majorHAnsi" w:cstheme="majorHAnsi"/>
          <w:lang w:val="es-CL"/>
        </w:rPr>
      </w:pPr>
      <w:r>
        <w:rPr>
          <w:rFonts w:asciiTheme="majorHAnsi" w:hAnsiTheme="majorHAnsi" w:cstheme="majorHAnsi"/>
          <w:lang w:val="es-CL"/>
        </w:rPr>
        <w:t>El cierre mensual se basa en la consolidación de información proveniente de fuentes oficiales de registro de dotación y acreditación de personal.</w:t>
      </w:r>
    </w:p>
    <w:p w:rsidRPr="00D368B9" w:rsidR="0095323F" w:rsidP="00D368B9" w:rsidRDefault="0095323F" w14:paraId="710D7D6B" w14:textId="6378669A">
      <w:pPr>
        <w:rPr>
          <w:rFonts w:asciiTheme="majorHAnsi" w:hAnsiTheme="majorHAnsi" w:cstheme="majorHAnsi"/>
          <w:lang w:val="es-CL"/>
        </w:rPr>
      </w:pPr>
      <w:r>
        <w:rPr>
          <w:rFonts w:asciiTheme="majorHAnsi" w:hAnsiTheme="majorHAnsi" w:cstheme="majorHAnsi"/>
          <w:lang w:val="es-CL"/>
        </w:rPr>
        <w:t>Para efectos del cierre, la información se obtiene principalmente desde tres fuentes:</w:t>
      </w:r>
    </w:p>
    <w:p w:rsidRPr="00D368B9" w:rsidR="001F11E9" w:rsidP="00D368B9" w:rsidRDefault="001F11E9" w14:paraId="4A3AE7C2" w14:textId="77777777">
      <w:pPr>
        <w:rPr>
          <w:rFonts w:asciiTheme="majorHAnsi" w:hAnsiTheme="majorHAnsi" w:cstheme="majorHAnsi"/>
          <w:lang w:val="es-CL"/>
        </w:rPr>
      </w:pPr>
    </w:p>
    <w:p w:rsidRPr="00D368B9" w:rsidR="0095323F" w:rsidP="00D368B9" w:rsidRDefault="0095323F" w14:paraId="2D915BD2" w14:textId="77777777">
      <w:pPr>
        <w:rPr>
          <w:rFonts w:asciiTheme="majorHAnsi" w:hAnsiTheme="majorHAnsi" w:cstheme="majorHAnsi"/>
          <w:lang w:val="es-CL"/>
        </w:rPr>
      </w:pPr>
      <w:r>
        <w:rPr>
          <w:rFonts w:asciiTheme="majorHAnsi" w:hAnsiTheme="majorHAnsi" w:cstheme="majorHAnsi"/>
          <w:lang w:val="es-CL"/>
        </w:rPr>
        <w:t>• SIGA, que registra la acreditación y presencia del personal en faena.</w:t>
      </w:r>
    </w:p>
    <w:p w:rsidRPr="00D368B9" w:rsidR="0095323F" w:rsidP="00D368B9" w:rsidRDefault="0095323F" w14:paraId="3C7C5B22" w14:textId="77777777">
      <w:pPr>
        <w:rPr>
          <w:rFonts w:asciiTheme="majorHAnsi" w:hAnsiTheme="majorHAnsi" w:cstheme="majorHAnsi"/>
          <w:lang w:val="es-CL"/>
        </w:rPr>
      </w:pPr>
      <w:r>
        <w:rPr>
          <w:rFonts w:asciiTheme="majorHAnsi" w:hAnsiTheme="majorHAnsi" w:cstheme="majorHAnsi"/>
          <w:lang w:val="es-CL"/>
        </w:rPr>
        <w:t>• Registros de acreditación E200, que permiten validar la presencia efectiva de trabajadores.</w:t>
      </w:r>
    </w:p>
    <w:p w:rsidRPr="00D368B9" w:rsidR="0095323F" w:rsidP="00D368B9" w:rsidRDefault="0095323F" w14:paraId="4DD01588" w14:textId="0F7BB7BD">
      <w:pPr>
        <w:rPr>
          <w:rFonts w:asciiTheme="majorHAnsi" w:hAnsiTheme="majorHAnsi" w:cstheme="majorHAnsi"/>
          <w:lang w:val="es-CL"/>
        </w:rPr>
      </w:pPr>
      <w:r>
        <w:rPr>
          <w:rFonts w:asciiTheme="majorHAnsi" w:hAnsiTheme="majorHAnsi" w:cstheme="majorHAnsi"/>
          <w:lang w:val="es-CL"/>
        </w:rPr>
        <w:t>• Declaraciones de dotación informadas por las Empresas Contratistas.</w:t>
      </w:r>
    </w:p>
    <w:p w:rsidRPr="00D368B9" w:rsidR="001F11E9" w:rsidP="00D368B9" w:rsidRDefault="001F11E9" w14:paraId="7CE5C8F5" w14:textId="77777777">
      <w:pPr>
        <w:rPr>
          <w:rFonts w:asciiTheme="majorHAnsi" w:hAnsiTheme="majorHAnsi" w:cstheme="majorHAnsi"/>
          <w:lang w:val="es-CL"/>
        </w:rPr>
      </w:pPr>
    </w:p>
    <w:p w:rsidRPr="00D368B9" w:rsidR="0095323F" w:rsidP="00D368B9" w:rsidRDefault="0095323F" w14:paraId="4750941F" w14:textId="135982C2">
      <w:pPr>
        <w:rPr>
          <w:rFonts w:asciiTheme="majorHAnsi" w:hAnsiTheme="majorHAnsi" w:cstheme="majorHAnsi"/>
          <w:lang w:val="es-CL"/>
        </w:rPr>
      </w:pPr>
      <w:r>
        <w:rPr>
          <w:rFonts w:asciiTheme="majorHAnsi" w:hAnsiTheme="majorHAnsi" w:cstheme="majorHAnsi"/>
          <w:lang w:val="es-CL"/>
        </w:rPr>
        <w:t>Cada una de estas fuentes cumple un rol complementario en el proceso. SIGA constituye la base operativa inicial, E200 permite validar la presencia efectiva del personal y las declaraciones de EECC aportan la visión contractual de la dotación ejecutada.</w:t>
      </w:r>
    </w:p>
    <w:p w:rsidRPr="00D368B9" w:rsidR="001F11E9" w:rsidP="00D368B9" w:rsidRDefault="001F11E9" w14:paraId="4EB340C8" w14:textId="77777777">
      <w:pPr>
        <w:rPr>
          <w:rFonts w:asciiTheme="majorHAnsi" w:hAnsiTheme="majorHAnsi" w:cstheme="majorHAnsi"/>
          <w:lang w:val="es-CL"/>
        </w:rPr>
      </w:pPr>
    </w:p>
    <w:p w:rsidRPr="00D368B9" w:rsidR="0095323F" w:rsidP="00D368B9" w:rsidRDefault="0095323F" w14:paraId="6E8C481C" w14:textId="2C565A90">
      <w:pPr>
        <w:rPr>
          <w:rFonts w:asciiTheme="majorHAnsi" w:hAnsiTheme="majorHAnsi" w:cstheme="majorHAnsi"/>
          <w:lang w:val="es-CL"/>
        </w:rPr>
      </w:pPr>
      <w:r>
        <w:rPr>
          <w:rFonts w:asciiTheme="majorHAnsi" w:hAnsiTheme="majorHAnsi" w:cstheme="majorHAnsi"/>
          <w:lang w:val="es-CL"/>
        </w:rPr>
        <w:t>El cierre mensual considera la conciliación estructurada entre estas fuentes, con el fin de identificar, analizar y resolver diferencias, asegurando la construcción de un dato único, consistente y trazable.</w:t>
      </w:r>
    </w:p>
    <w:p w:rsidRPr="00D368B9" w:rsidR="001F11E9" w:rsidP="00D368B9" w:rsidRDefault="001F11E9" w14:paraId="34F44E07" w14:textId="77777777">
      <w:pPr>
        <w:rPr>
          <w:rFonts w:asciiTheme="majorHAnsi" w:hAnsiTheme="majorHAnsi" w:cstheme="majorHAnsi"/>
          <w:lang w:val="es-CL"/>
        </w:rPr>
      </w:pPr>
    </w:p>
    <w:p w:rsidRPr="00D368B9" w:rsidR="0095323F" w:rsidP="00D368B9" w:rsidRDefault="0095323F" w14:paraId="10ABC24D" w14:textId="13A0D591">
      <w:pPr>
        <w:rPr>
          <w:rFonts w:asciiTheme="majorHAnsi" w:hAnsiTheme="majorHAnsi" w:cstheme="majorHAnsi"/>
          <w:lang w:val="es-CL"/>
        </w:rPr>
      </w:pPr>
      <w:r>
        <w:rPr>
          <w:rFonts w:asciiTheme="majorHAnsi" w:hAnsiTheme="majorHAnsi" w:cstheme="majorHAnsi"/>
          <w:lang w:val="es-CL"/>
        </w:rPr>
        <w:t>Asimismo, el cierre mensual se sustenta en la continuidad del análisis dotacional realizado durante el período, incorporando como insumo las desviaciones, tendencias y alertas identificadas en los controles semanales. En este contexto, el proceso mensual no constituye un análisis aislado, sino la consolidación, validación y formalización de un proceso de seguimiento continuo.</w:t>
      </w:r>
    </w:p>
    <w:p w:rsidRPr="00D368B9" w:rsidR="001F11E9" w:rsidP="00D368B9" w:rsidRDefault="001F11E9" w14:paraId="1FAE1010" w14:textId="77777777">
      <w:pPr>
        <w:rPr>
          <w:rFonts w:asciiTheme="majorHAnsi" w:hAnsiTheme="majorHAnsi" w:cstheme="majorHAnsi"/>
          <w:lang w:val="es-CL"/>
        </w:rPr>
      </w:pPr>
    </w:p>
    <w:p w:rsidRPr="00D368B9" w:rsidR="0095323F" w:rsidP="00D368B9" w:rsidRDefault="0095323F" w14:paraId="62CDA0B1" w14:textId="77777777">
      <w:pPr>
        <w:rPr>
          <w:rFonts w:asciiTheme="majorHAnsi" w:hAnsiTheme="majorHAnsi" w:cstheme="majorHAnsi"/>
          <w:lang w:val="es-CL"/>
        </w:rPr>
      </w:pPr>
      <w:r>
        <w:rPr>
          <w:rFonts w:asciiTheme="majorHAnsi" w:hAnsiTheme="majorHAnsi" w:cstheme="majorHAnsi"/>
          <w:lang w:val="es-CL"/>
        </w:rPr>
        <w:t>El dato FTE validado durante el cierre mensual tiene carácter oficial y definitivo para el período, y será utilizado como referencia para control de gestión, análisis de desviaciones y reportabilidad corporativa.</w:t>
      </w:r>
    </w:p>
    <w:p w:rsidR="000A6052" w:rsidP="0095323F" w:rsidRDefault="00E6057B" w14:paraId="6E7341E1" w14:textId="04F91600">
      <w:pPr>
        <w:pStyle w:val="Ttulo1"/>
        <w:spacing w:line="240" w:lineRule="auto"/>
        <w:jc w:val="both"/>
        <w:rPr>
          <w:rFonts w:asciiTheme="majorHAnsi" w:hAnsiTheme="majorHAnsi"/>
          <w:color w:val="31849B" w:themeColor="accent5" w:themeShade="BF"/>
          <w:sz w:val="22"/>
          <w:szCs w:val="32"/>
        </w:rPr>
      </w:pPr>
      <w:bookmarkStart w:name="_Toc225762005" w:id="10"/>
      <w:r>
        <w:rPr>
          <w:rFonts w:asciiTheme="majorHAnsi" w:hAnsiTheme="majorHAnsi"/>
          <w:color w:val="31849B" w:themeColor="accent5" w:themeShade="BF"/>
          <w:sz w:val="22"/>
          <w:szCs w:val="32"/>
        </w:rPr>
        <w:t>5. Ejecución del cierre mensual</w:t>
      </w:r>
      <w:bookmarkEnd w:id="10"/>
    </w:p>
    <w:p w:rsidR="006900B0" w:rsidP="006900B0" w:rsidRDefault="006900B0" w14:paraId="1DCA4954" w14:textId="77777777">
      <w:pPr>
        <w:rPr>
          <w:rFonts w:asciiTheme="majorHAnsi" w:hAnsiTheme="majorHAnsi" w:cstheme="majorHAnsi"/>
          <w:lang w:val="es-CL"/>
        </w:rPr>
      </w:pPr>
      <w:r>
        <w:rPr>
          <w:rFonts w:asciiTheme="majorHAnsi" w:hAnsiTheme="majorHAnsi" w:cstheme="majorHAnsi"/>
          <w:lang w:val="es-CL"/>
        </w:rPr>
        <w:t>La ejecución del cierre mensual corresponde al proceso mediante el cual GST consolida, valida y oficializa la dotación FTE ejecutada durante el período.</w:t>
      </w:r>
    </w:p>
    <w:p w:rsidRPr="006900B0" w:rsidR="006900B0" w:rsidP="006900B0" w:rsidRDefault="006900B0" w14:paraId="36713F67" w14:textId="77777777">
      <w:pPr>
        <w:rPr>
          <w:rFonts w:asciiTheme="majorHAnsi" w:hAnsiTheme="majorHAnsi" w:cstheme="majorHAnsi"/>
          <w:lang w:val="es-CL"/>
        </w:rPr>
      </w:pPr>
    </w:p>
    <w:p w:rsidR="006900B0" w:rsidP="006900B0" w:rsidRDefault="006900B0" w14:paraId="746BF02F" w14:textId="77777777">
      <w:pPr>
        <w:rPr>
          <w:rFonts w:asciiTheme="majorHAnsi" w:hAnsiTheme="majorHAnsi" w:cstheme="majorHAnsi"/>
          <w:lang w:val="es-CL"/>
        </w:rPr>
      </w:pPr>
      <w:r>
        <w:rPr>
          <w:rFonts w:asciiTheme="majorHAnsi" w:hAnsiTheme="majorHAnsi" w:cstheme="majorHAnsi"/>
          <w:lang w:val="es-CL"/>
        </w:rPr>
        <w:t>Este proceso considera la consolidación de la dotación real del mes, su conciliación con la dotación contractual vigente y con la dotación presupuestada aprobada, incorporando como insumo las desviaciones, tendencias y alertas identificadas en los controles semanales del período.</w:t>
      </w:r>
    </w:p>
    <w:p w:rsidRPr="006900B0" w:rsidR="006900B0" w:rsidP="006900B0" w:rsidRDefault="006900B0" w14:paraId="13965882" w14:textId="77777777">
      <w:pPr>
        <w:rPr>
          <w:rFonts w:asciiTheme="majorHAnsi" w:hAnsiTheme="majorHAnsi" w:cstheme="majorHAnsi"/>
          <w:lang w:val="es-CL"/>
        </w:rPr>
      </w:pPr>
    </w:p>
    <w:p w:rsidRPr="006900B0" w:rsidR="006900B0" w:rsidP="006900B0" w:rsidRDefault="006900B0" w14:paraId="6BEA1EA7" w14:textId="77777777">
      <w:pPr>
        <w:rPr>
          <w:rFonts w:asciiTheme="majorHAnsi" w:hAnsiTheme="majorHAnsi" w:cstheme="majorHAnsi"/>
          <w:lang w:val="es-CL"/>
        </w:rPr>
      </w:pPr>
      <w:r>
        <w:rPr>
          <w:rFonts w:asciiTheme="majorHAnsi" w:hAnsiTheme="majorHAnsi" w:cstheme="majorHAnsi"/>
          <w:lang w:val="es-CL"/>
        </w:rPr>
        <w:t>Sobre esta base, el cierre mensual tiene por objetivo validar, profundizar y formalizar dichas desviaciones, así como identificar aquellas que no hayan sido detectadas durante el seguimiento semanal, asegurando una visión completa y consistente de la ejecución de los contratos.</w:t>
      </w:r>
    </w:p>
    <w:p w:rsidR="006900B0" w:rsidP="006900B0" w:rsidRDefault="006900B0" w14:paraId="0FA6D5F2" w14:textId="77777777">
      <w:pPr>
        <w:rPr>
          <w:rFonts w:asciiTheme="majorHAnsi" w:hAnsiTheme="majorHAnsi" w:cstheme="majorHAnsi"/>
          <w:lang w:val="es-CL"/>
        </w:rPr>
      </w:pPr>
      <w:r>
        <w:rPr>
          <w:rFonts w:asciiTheme="majorHAnsi" w:hAnsiTheme="majorHAnsi" w:cstheme="majorHAnsi"/>
          <w:lang w:val="es-CL"/>
        </w:rPr>
        <w:t>El análisis permite distinguir entre desviaciones puntuales propias de la operación y desviaciones que presentan características estructurales o reiterativas, evaluando su impacto potencial en el presupuesto, la continuidad del servicio y el marco contractual.</w:t>
      </w:r>
    </w:p>
    <w:p w:rsidRPr="006900B0" w:rsidR="006900B0" w:rsidP="006900B0" w:rsidRDefault="006900B0" w14:paraId="4467BC4C" w14:textId="77777777">
      <w:pPr>
        <w:rPr>
          <w:rFonts w:asciiTheme="majorHAnsi" w:hAnsiTheme="majorHAnsi" w:cstheme="majorHAnsi"/>
          <w:lang w:val="es-CL"/>
        </w:rPr>
      </w:pPr>
    </w:p>
    <w:p w:rsidR="0053366C" w:rsidP="0053366C" w:rsidRDefault="0053366C" w14:paraId="7C119354" w14:textId="77777777">
      <w:pPr>
        <w:rPr>
          <w:rFonts w:asciiTheme="majorHAnsi" w:hAnsiTheme="majorHAnsi" w:cstheme="majorHAnsi"/>
          <w:lang w:val="es-CL"/>
        </w:rPr>
      </w:pPr>
      <w:r>
        <w:rPr>
          <w:rFonts w:asciiTheme="majorHAnsi" w:hAnsiTheme="majorHAnsi" w:cstheme="majorHAnsi"/>
          <w:lang w:val="es-CL"/>
        </w:rPr>
        <w:t>Las desviaciones detectadas deberán ser explicadas formalmente por el AdC, quien deberá identificar las causas operativas de la variación, su evolución durante el período y su proyección futura, considerando como referencia los controles semanales y las alertas previamente levantadas. Estas explicaciones constituyen un insumo relevante para el análisis del cierre, pero no implican validación automática de la desviación observada.</w:t>
      </w:r>
    </w:p>
    <w:p w:rsidRPr="0053366C" w:rsidR="0053366C" w:rsidP="0053366C" w:rsidRDefault="0053366C" w14:paraId="4FAA0A64" w14:textId="77777777">
      <w:pPr>
        <w:rPr>
          <w:rFonts w:asciiTheme="majorHAnsi" w:hAnsiTheme="majorHAnsi" w:cstheme="majorHAnsi"/>
          <w:lang w:val="es-CL"/>
        </w:rPr>
      </w:pPr>
    </w:p>
    <w:p w:rsidRPr="0053366C" w:rsidR="0053366C" w:rsidP="0053366C" w:rsidRDefault="0053366C" w14:paraId="494DE79D" w14:textId="77777777">
      <w:pPr>
        <w:rPr>
          <w:rFonts w:asciiTheme="majorHAnsi" w:hAnsiTheme="majorHAnsi" w:cstheme="majorHAnsi"/>
          <w:lang w:val="es-CL"/>
        </w:rPr>
      </w:pPr>
      <w:r>
        <w:rPr>
          <w:rFonts w:asciiTheme="majorHAnsi" w:hAnsiTheme="majorHAnsi" w:cstheme="majorHAnsi"/>
          <w:lang w:val="es-CL"/>
        </w:rPr>
        <w:t>Sobre la base de esta información, GST evaluará la razonabilidad de las causas y su coherencia con el comportamiento observado durante el período y con los controles semanales, clasificará las desviaciones conforme al árbol de decisión vigente y definirá las acciones de gestión correspondientes, tales como seguimiento operativo, escalamiento de la situación, análisis estructural e incorporación en el Outlook dotacional.</w:t>
      </w:r>
    </w:p>
    <w:p w:rsidRPr="006900B0" w:rsidR="006900B0" w:rsidP="006900B0" w:rsidRDefault="006900B0" w14:paraId="45FD70FC" w14:textId="77777777">
      <w:pPr>
        <w:rPr>
          <w:rFonts w:asciiTheme="majorHAnsi" w:hAnsiTheme="majorHAnsi" w:cstheme="majorHAnsi"/>
          <w:lang w:val="es-CL"/>
        </w:rPr>
      </w:pPr>
    </w:p>
    <w:p w:rsidRPr="006900B0" w:rsidR="007829DA" w:rsidP="006900B0" w:rsidRDefault="006900B0" w14:paraId="20C2AAB3" w14:textId="6620180B">
      <w:pPr>
        <w:rPr>
          <w:rFonts w:asciiTheme="majorHAnsi" w:hAnsiTheme="majorHAnsi" w:cstheme="majorHAnsi"/>
          <w:lang w:val="es-CL"/>
        </w:rPr>
      </w:pPr>
      <w:r>
        <w:rPr>
          <w:rFonts w:asciiTheme="majorHAnsi" w:hAnsiTheme="majorHAnsi" w:cstheme="majorHAnsi"/>
          <w:lang w:val="es-CL"/>
        </w:rPr>
        <w:t>El proceso de cierre mensual deberá ejecutarse a más tardar el séptimo día hábil del mes siguiente al período de control.</w:t>
      </w:r>
    </w:p>
    <w:p w:rsidR="007829DA" w:rsidP="003B05D3" w:rsidRDefault="007829DA" w14:paraId="2167F89C" w14:textId="77777777">
      <w:pPr>
        <w:pStyle w:val="Ttulo2"/>
        <w:spacing w:before="0"/>
        <w:ind w:left="576" w:hanging="576"/>
        <w:rPr>
          <w:rFonts w:asciiTheme="majorHAnsi" w:hAnsiTheme="majorHAnsi"/>
          <w:color w:val="31849B" w:themeColor="accent5" w:themeShade="BF"/>
          <w:sz w:val="22"/>
        </w:rPr>
      </w:pPr>
    </w:p>
    <w:p w:rsidRPr="003B05D3" w:rsidR="00D5319C" w:rsidP="003B05D3" w:rsidRDefault="00D5319C" w14:paraId="1BD8EFAB" w14:textId="671B67BF">
      <w:pPr>
        <w:pStyle w:val="Ttulo2"/>
        <w:spacing w:before="0"/>
        <w:ind w:left="576" w:hanging="576"/>
        <w:rPr>
          <w:rFonts w:asciiTheme="majorHAnsi" w:hAnsiTheme="majorHAnsi"/>
          <w:color w:val="31849B" w:themeColor="accent5" w:themeShade="BF"/>
          <w:sz w:val="22"/>
        </w:rPr>
      </w:pPr>
      <w:bookmarkStart w:name="_Toc225762006" w:id="11"/>
      <w:r>
        <w:rPr>
          <w:rFonts w:asciiTheme="majorHAnsi" w:hAnsiTheme="majorHAnsi"/>
          <w:color w:val="31849B" w:themeColor="accent5" w:themeShade="BF"/>
          <w:sz w:val="22"/>
        </w:rPr>
        <w:t>5.1 Inicio formal del proceso</w:t>
      </w:r>
      <w:bookmarkEnd w:id="11"/>
    </w:p>
    <w:p w:rsidRPr="00A047E5" w:rsidR="00A047E5" w:rsidP="003B05D3" w:rsidRDefault="00A047E5" w14:paraId="14C4038F" w14:textId="77777777">
      <w:pPr>
        <w:rPr>
          <w:rFonts w:asciiTheme="majorHAnsi" w:hAnsiTheme="majorHAnsi" w:cstheme="majorHAnsi"/>
          <w:lang w:val="es-CL"/>
        </w:rPr>
      </w:pPr>
      <w:r>
        <w:rPr>
          <w:rFonts w:asciiTheme="majorHAnsi" w:hAnsiTheme="majorHAnsi" w:cstheme="majorHAnsi"/>
          <w:lang w:val="es-CL"/>
        </w:rPr>
        <w:t>Esta etapa marca el inicio oficial del cierre mensual, estableciendo el período que será analizado y organizando el trabajo necesario para ejecutar el proceso dentro del plazo definido.</w:t>
      </w:r>
    </w:p>
    <w:p w:rsidRPr="00A047E5" w:rsidR="00A047E5" w:rsidP="003B05D3" w:rsidRDefault="00A047E5" w14:paraId="3EC92FF5" w14:textId="77777777">
      <w:pPr>
        <w:rPr>
          <w:rFonts w:asciiTheme="majorHAnsi" w:hAnsiTheme="majorHAnsi" w:cstheme="majorHAnsi"/>
          <w:lang w:val="es-CL"/>
        </w:rPr>
      </w:pPr>
      <w:r>
        <w:rPr>
          <w:rFonts w:asciiTheme="majorHAnsi" w:hAnsiTheme="majorHAnsi" w:cstheme="majorHAnsi"/>
          <w:lang w:val="es-CL"/>
        </w:rPr>
        <w:t>El proceso de cierre se inicia el primer día hábil del mes siguiente al período a consolidar.</w:t>
      </w:r>
    </w:p>
    <w:p w:rsidRPr="00A047E5" w:rsidR="00A047E5" w:rsidP="003B05D3" w:rsidRDefault="00A047E5" w14:paraId="4741ADE2" w14:textId="77777777">
      <w:pPr>
        <w:rPr>
          <w:rFonts w:asciiTheme="majorHAnsi" w:hAnsiTheme="majorHAnsi" w:cstheme="majorHAnsi"/>
          <w:lang w:val="es-CL"/>
        </w:rPr>
      </w:pPr>
      <w:r>
        <w:rPr>
          <w:rFonts w:asciiTheme="majorHAnsi" w:hAnsiTheme="majorHAnsi" w:cstheme="majorHAnsi"/>
          <w:lang w:val="es-CL"/>
        </w:rPr>
        <w:t>En esta instancia, GST define el período objeto de cierre, activa la carpeta oficial de trabajo y fija el cronograma interno de ejecución, asegurando cumplimiento del plazo máximo establecido.</w:t>
      </w:r>
    </w:p>
    <w:p w:rsidRPr="00A047E5" w:rsidR="00A047E5" w:rsidP="003B05D3" w:rsidRDefault="00A047E5" w14:paraId="3DB895D0" w14:textId="77777777">
      <w:pPr>
        <w:rPr>
          <w:rFonts w:asciiTheme="majorHAnsi" w:hAnsiTheme="majorHAnsi" w:cstheme="majorHAnsi"/>
          <w:lang w:val="es-CL"/>
        </w:rPr>
      </w:pPr>
      <w:r>
        <w:rPr>
          <w:rFonts w:asciiTheme="majorHAnsi" w:hAnsiTheme="majorHAnsi" w:cstheme="majorHAnsi"/>
          <w:lang w:val="es-CL"/>
        </w:rPr>
        <w:t>El inicio formal del proceso marca el punto a partir del cual toda la información analizada corresponderá exclusivamente al período ejecutado.</w:t>
      </w:r>
    </w:p>
    <w:p w:rsidRPr="00A047E5" w:rsidR="00A047E5" w:rsidP="003B05D3" w:rsidRDefault="00A047E5" w14:paraId="4474CDB7" w14:textId="77777777"/>
    <w:p w:rsidRPr="003B05D3" w:rsidR="00D5319C" w:rsidP="003B05D3" w:rsidRDefault="00D5319C" w14:paraId="7DE72734" w14:textId="77777777">
      <w:pPr>
        <w:pStyle w:val="Ttulo2"/>
        <w:spacing w:before="0"/>
        <w:ind w:left="576" w:hanging="576"/>
        <w:rPr>
          <w:rFonts w:asciiTheme="majorHAnsi" w:hAnsiTheme="majorHAnsi"/>
          <w:color w:val="31849B" w:themeColor="accent5" w:themeShade="BF"/>
          <w:sz w:val="22"/>
        </w:rPr>
      </w:pPr>
      <w:bookmarkStart w:name="_Toc225762007" w:id="12"/>
      <w:r>
        <w:rPr>
          <w:rFonts w:asciiTheme="majorHAnsi" w:hAnsiTheme="majorHAnsi"/>
          <w:color w:val="31849B" w:themeColor="accent5" w:themeShade="BF"/>
          <w:sz w:val="22"/>
        </w:rPr>
        <w:t>5.2 Recopilación de insumos oficiales</w:t>
      </w:r>
      <w:bookmarkEnd w:id="12"/>
    </w:p>
    <w:p w:rsidRPr="00E7050A" w:rsidR="00E7050A" w:rsidP="003B05D3" w:rsidRDefault="00E7050A" w14:paraId="096E4E40" w14:textId="77777777">
      <w:pPr>
        <w:pStyle w:val="NormalWeb"/>
        <w:rPr>
          <w:rFonts w:asciiTheme="majorHAnsi" w:hAnsiTheme="majorHAnsi" w:cstheme="majorHAnsi"/>
          <w:sz w:val="22"/>
          <w:szCs w:val="22"/>
        </w:rPr>
      </w:pPr>
      <w:r>
        <w:rPr>
          <w:rFonts w:asciiTheme="majorHAnsi" w:hAnsiTheme="majorHAnsi" w:cstheme="majorHAnsi"/>
          <w:sz w:val="22"/>
          <w:szCs w:val="22"/>
        </w:rPr>
        <w:t xml:space="preserve">En esta etapa se recopila la </w:t>
      </w:r>
      <w:r>
        <w:rPr>
          <w:rStyle w:val="Fuerte"/>
          <w:rFonts w:asciiTheme="majorHAnsi" w:hAnsiTheme="majorHAnsi" w:cstheme="majorHAnsi"/>
          <w:b w:val="0"/>
          <w:bCs w:val="0"/>
          <w:sz w:val="22"/>
          <w:szCs w:val="22"/>
        </w:rPr>
        <w:t>información base necesaria para construir la dotación real del período</w:t>
      </w:r>
      <w:r>
        <w:rPr>
          <w:rFonts w:asciiTheme="majorHAnsi" w:hAnsiTheme="majorHAnsi" w:cstheme="majorHAnsi"/>
          <w:sz w:val="22"/>
          <w:szCs w:val="22"/>
        </w:rPr>
        <w:t>, utilizando las fuentes oficiales definidas por la compañía.</w:t>
      </w:r>
    </w:p>
    <w:p w:rsidRPr="00E7050A" w:rsidR="00E7050A" w:rsidP="003B05D3" w:rsidRDefault="00E7050A" w14:paraId="67BCA751" w14:textId="77777777">
      <w:pPr>
        <w:pStyle w:val="NormalWeb"/>
        <w:rPr>
          <w:rFonts w:asciiTheme="majorHAnsi" w:hAnsiTheme="majorHAnsi" w:cstheme="majorHAnsi"/>
          <w:sz w:val="22"/>
          <w:szCs w:val="22"/>
        </w:rPr>
      </w:pPr>
      <w:r>
        <w:rPr>
          <w:rFonts w:asciiTheme="majorHAnsi" w:hAnsiTheme="majorHAnsi" w:cstheme="majorHAnsi"/>
          <w:sz w:val="22"/>
          <w:szCs w:val="22"/>
        </w:rPr>
        <w:t>GST deberá recopilar la totalidad de las fuentes oficiales requeridas para la consolidación del período:</w:t>
      </w:r>
    </w:p>
    <w:p w:rsidRPr="0088586B" w:rsidR="00D5319C" w:rsidP="003B05D3" w:rsidRDefault="00D5319C" w14:paraId="229E6D54" w14:textId="77777777">
      <w:pPr>
        <w:numPr>
          <w:ilvl w:val="0"/>
          <w:numId w:val="7"/>
        </w:numPr>
        <w:spacing w:before="240" w:line="240" w:lineRule="auto"/>
        <w:jc w:val="both"/>
        <w:rPr>
          <w:rFonts w:eastAsia="Calibri" w:asciiTheme="majorHAnsi" w:hAnsiTheme="majorHAnsi" w:cstheme="majorHAnsi"/>
        </w:rPr>
      </w:pPr>
      <w:r>
        <w:rPr>
          <w:rFonts w:eastAsia="Calibri" w:asciiTheme="majorHAnsi" w:hAnsiTheme="majorHAnsi" w:cstheme="majorHAnsi"/>
        </w:rPr>
        <w:t>Registro de acreditación real (E200).</w:t>
      </w:r>
    </w:p>
    <w:p w:rsidRPr="0088586B" w:rsidR="00D5319C" w:rsidP="003B05D3" w:rsidRDefault="00D5319C" w14:paraId="32D4EF81" w14:textId="77777777">
      <w:pPr>
        <w:numPr>
          <w:ilvl w:val="0"/>
          <w:numId w:val="7"/>
        </w:numPr>
        <w:spacing w:line="240" w:lineRule="auto"/>
        <w:jc w:val="both"/>
        <w:rPr>
          <w:rFonts w:eastAsia="Calibri" w:asciiTheme="majorHAnsi" w:hAnsiTheme="majorHAnsi" w:cstheme="majorHAnsi"/>
        </w:rPr>
      </w:pPr>
      <w:r>
        <w:rPr>
          <w:rFonts w:eastAsia="Calibri" w:asciiTheme="majorHAnsi" w:hAnsiTheme="majorHAnsi" w:cstheme="majorHAnsi"/>
        </w:rPr>
        <w:t>Información registrada en SIGA.</w:t>
      </w:r>
    </w:p>
    <w:p w:rsidRPr="0088586B" w:rsidR="00D5319C" w:rsidP="003B05D3" w:rsidRDefault="00D5319C" w14:paraId="2DF50659" w14:textId="77777777">
      <w:pPr>
        <w:numPr>
          <w:ilvl w:val="0"/>
          <w:numId w:val="7"/>
        </w:numPr>
        <w:spacing w:line="240" w:lineRule="auto"/>
        <w:jc w:val="both"/>
        <w:rPr>
          <w:rFonts w:eastAsia="Calibri" w:asciiTheme="majorHAnsi" w:hAnsiTheme="majorHAnsi" w:cstheme="majorHAnsi"/>
        </w:rPr>
      </w:pPr>
      <w:r>
        <w:rPr>
          <w:rFonts w:eastAsia="Calibri" w:asciiTheme="majorHAnsi" w:hAnsiTheme="majorHAnsi" w:cstheme="majorHAnsi"/>
        </w:rPr>
        <w:t>Dotación presupuestada vigente (SAP).</w:t>
      </w:r>
    </w:p>
    <w:p w:rsidRPr="0088586B" w:rsidR="00D5319C" w:rsidP="003B05D3" w:rsidRDefault="00D5319C" w14:paraId="2C01600C" w14:textId="77777777">
      <w:pPr>
        <w:numPr>
          <w:ilvl w:val="0"/>
          <w:numId w:val="7"/>
        </w:numPr>
        <w:spacing w:line="240" w:lineRule="auto"/>
        <w:jc w:val="both"/>
        <w:rPr>
          <w:rFonts w:eastAsia="Calibri" w:asciiTheme="majorHAnsi" w:hAnsiTheme="majorHAnsi" w:cstheme="majorHAnsi"/>
        </w:rPr>
      </w:pPr>
      <w:r>
        <w:rPr>
          <w:rFonts w:eastAsia="Calibri" w:asciiTheme="majorHAnsi" w:hAnsiTheme="majorHAnsi" w:cstheme="majorHAnsi"/>
        </w:rPr>
        <w:t>Dotación contractual aprobada.</w:t>
      </w:r>
    </w:p>
    <w:p w:rsidRPr="0088586B" w:rsidR="00D5319C" w:rsidP="003B05D3" w:rsidRDefault="00D5319C" w14:paraId="4BCE6C6C" w14:textId="77777777">
      <w:pPr>
        <w:numPr>
          <w:ilvl w:val="0"/>
          <w:numId w:val="7"/>
        </w:numPr>
        <w:spacing w:line="240" w:lineRule="auto"/>
        <w:jc w:val="both"/>
        <w:rPr>
          <w:rFonts w:eastAsia="Calibri" w:asciiTheme="majorHAnsi" w:hAnsiTheme="majorHAnsi" w:cstheme="majorHAnsi"/>
        </w:rPr>
      </w:pPr>
      <w:r>
        <w:rPr>
          <w:rFonts w:eastAsia="Calibri" w:asciiTheme="majorHAnsi" w:hAnsiTheme="majorHAnsi" w:cstheme="majorHAnsi"/>
        </w:rPr>
        <w:t>Declaración formal de dotación por parte de la empresa contratista (cuando corresponda).</w:t>
      </w:r>
    </w:p>
    <w:p w:rsidRPr="0088586B" w:rsidR="00D5319C" w:rsidP="003B05D3" w:rsidRDefault="00D5319C" w14:paraId="492250B0" w14:textId="478619D8">
      <w:pPr>
        <w:numPr>
          <w:ilvl w:val="0"/>
          <w:numId w:val="7"/>
        </w:numPr>
        <w:spacing w:after="240" w:line="240" w:lineRule="auto"/>
        <w:rPr>
          <w:rFonts w:eastAsia="Calibri" w:asciiTheme="majorHAnsi" w:hAnsiTheme="majorHAnsi" w:cstheme="majorHAnsi"/>
        </w:rPr>
      </w:pPr>
      <w:r>
        <w:rPr>
          <w:rFonts w:eastAsia="Calibri" w:asciiTheme="majorHAnsi" w:hAnsiTheme="majorHAnsi" w:cstheme="majorHAnsi"/>
        </w:rPr>
        <w:t>Informe de Fuerza Laboral emitido por Relaciones Laborales (RRLL), obligatorio para validar categorías “Otros” y “Teletrabajo”, las cuales no se obtienen directamente desde SIGA.</w:t>
      </w:r>
    </w:p>
    <w:p w:rsidRPr="0088586B" w:rsidR="00D5319C" w:rsidP="003B05D3" w:rsidRDefault="00D5319C" w14:paraId="447E4787" w14:textId="77777777">
      <w:pPr>
        <w:spacing w:before="240" w:after="240" w:line="240" w:lineRule="auto"/>
        <w:jc w:val="both"/>
        <w:rPr>
          <w:rFonts w:eastAsia="Calibri" w:asciiTheme="majorHAnsi" w:hAnsiTheme="majorHAnsi" w:cstheme="majorHAnsi"/>
        </w:rPr>
      </w:pPr>
      <w:r>
        <w:rPr>
          <w:rFonts w:eastAsia="Calibri" w:asciiTheme="majorHAnsi" w:hAnsiTheme="majorHAnsi" w:cstheme="majorHAnsi"/>
        </w:rPr>
        <w:t>La recopilación deberá verificarse en términos de completitud, vigencia y consistencia básica. En caso de ausencia de algún insumo crítico, el proceso no deberá avanzar a la etapa de consolidación hasta su regularización.</w:t>
      </w:r>
    </w:p>
    <w:p w:rsidRPr="003B05D3" w:rsidR="00D5319C" w:rsidP="003B05D3" w:rsidRDefault="00D5319C" w14:paraId="3B8AECD8" w14:textId="77777777">
      <w:pPr>
        <w:pStyle w:val="Ttulo2"/>
        <w:spacing w:before="0"/>
        <w:ind w:left="576" w:hanging="576"/>
        <w:rPr>
          <w:rFonts w:asciiTheme="majorHAnsi" w:hAnsiTheme="majorHAnsi"/>
          <w:color w:val="31849B" w:themeColor="accent5" w:themeShade="BF"/>
          <w:sz w:val="22"/>
        </w:rPr>
      </w:pPr>
      <w:bookmarkStart w:name="_Toc225762008" w:id="13"/>
      <w:r>
        <w:rPr>
          <w:rFonts w:asciiTheme="majorHAnsi" w:hAnsiTheme="majorHAnsi"/>
          <w:color w:val="31849B" w:themeColor="accent5" w:themeShade="BF"/>
          <w:sz w:val="22"/>
        </w:rPr>
        <w:t>5.3 Consolidación preliminar de base única</w:t>
      </w:r>
      <w:bookmarkEnd w:id="13"/>
    </w:p>
    <w:p w:rsidRPr="00230A8F" w:rsidR="00655F02" w:rsidP="003B05D3" w:rsidRDefault="00655F02" w14:paraId="16C08266" w14:textId="1CA12FFC">
      <w:pPr>
        <w:rPr>
          <w:rFonts w:asciiTheme="majorHAnsi" w:hAnsiTheme="majorHAnsi" w:cstheme="majorHAnsi"/>
          <w:lang w:val="es-CL"/>
        </w:rPr>
      </w:pPr>
      <w:r>
        <w:rPr>
          <w:rFonts w:asciiTheme="majorHAnsi" w:hAnsiTheme="majorHAnsi" w:cstheme="majorHAnsi"/>
          <w:lang w:val="es-CL"/>
        </w:rPr>
        <w:t>Una vez recopilada la información, se integran las distintas fuentes en una base única de trabajo, que servirá como punto de partida para el análisis del cierre. Una vez disponibles todas las fuentes oficiales, GST procederá a integrar la información en una base única preliminar por contrato.</w:t>
      </w:r>
    </w:p>
    <w:p w:rsidRPr="00230A8F" w:rsidR="00720794" w:rsidP="003B05D3" w:rsidRDefault="00720794" w14:paraId="5D1161B4" w14:textId="77777777">
      <w:pPr>
        <w:rPr>
          <w:rFonts w:asciiTheme="majorHAnsi" w:hAnsiTheme="majorHAnsi" w:cstheme="majorHAnsi"/>
          <w:lang w:val="es-CL"/>
        </w:rPr>
      </w:pPr>
    </w:p>
    <w:p w:rsidRPr="00230A8F" w:rsidR="00655F02" w:rsidP="003B05D3" w:rsidRDefault="00655F02" w14:paraId="6FA4AA56" w14:textId="587AB6A7">
      <w:pPr>
        <w:rPr>
          <w:rFonts w:asciiTheme="majorHAnsi" w:hAnsiTheme="majorHAnsi" w:cstheme="majorHAnsi"/>
          <w:lang w:val="es-CL"/>
        </w:rPr>
      </w:pPr>
      <w:r>
        <w:rPr>
          <w:rFonts w:asciiTheme="majorHAnsi" w:hAnsiTheme="majorHAnsi" w:cstheme="majorHAnsi"/>
          <w:lang w:val="es-CL"/>
        </w:rPr>
        <w:t>En esta etapa se estandarizan formatos, se homologan identificadores contractuales y se asegura trazabilidad entre fuente de origen y registro consolidado. El resultado es una base consolidada preliminar susceptible de revisión técnica.</w:t>
      </w:r>
    </w:p>
    <w:p w:rsidRPr="00230A8F" w:rsidR="00230A8F" w:rsidP="00230A8F" w:rsidRDefault="00230A8F" w14:paraId="5FFF2667" w14:textId="76BE0F83">
      <w:pPr>
        <w:pStyle w:val="NormalWeb"/>
        <w:rPr>
          <w:rFonts w:asciiTheme="majorHAnsi" w:hAnsiTheme="majorHAnsi" w:cstheme="majorHAnsi"/>
          <w:sz w:val="22"/>
          <w:szCs w:val="22"/>
        </w:rPr>
      </w:pPr>
      <w:r>
        <w:rPr>
          <w:rFonts w:asciiTheme="majorHAnsi" w:hAnsiTheme="majorHAnsi" w:cstheme="majorHAnsi"/>
          <w:sz w:val="22"/>
          <w:szCs w:val="22"/>
        </w:rPr>
        <w:t>Antes de realizar cualquier análisis de desviaciones, la información consolidada debe ser revisada con el fin de asegurar que los datos sean consistentes, completos y confiables.</w:t>
      </w:r>
    </w:p>
    <w:p w:rsidRPr="00230A8F" w:rsidR="00230A8F" w:rsidP="00230A8F" w:rsidRDefault="00230A8F" w14:paraId="5A71233F" w14:textId="77777777">
      <w:pPr>
        <w:pStyle w:val="NormalWeb"/>
        <w:rPr>
          <w:rFonts w:asciiTheme="majorHAnsi" w:hAnsiTheme="majorHAnsi" w:cstheme="majorHAnsi"/>
          <w:sz w:val="22"/>
          <w:szCs w:val="22"/>
        </w:rPr>
      </w:pPr>
      <w:r>
        <w:rPr>
          <w:rFonts w:asciiTheme="majorHAnsi" w:hAnsiTheme="majorHAnsi" w:cstheme="majorHAnsi"/>
          <w:sz w:val="22"/>
          <w:szCs w:val="22"/>
        </w:rPr>
        <w:t>Para estos efectos, GST ejecutará una revisión técnica de la base consolidada, con el objetivo de asegurar la integridad y confiabilidad del dato.</w:t>
      </w:r>
    </w:p>
    <w:p w:rsidRPr="00230A8F" w:rsidR="00230A8F" w:rsidP="00230A8F" w:rsidRDefault="00230A8F" w14:paraId="4161FBF5" w14:textId="77777777">
      <w:pPr>
        <w:pStyle w:val="NormalWeb"/>
        <w:rPr>
          <w:rFonts w:asciiTheme="majorHAnsi" w:hAnsiTheme="majorHAnsi" w:cstheme="majorHAnsi"/>
          <w:sz w:val="22"/>
          <w:szCs w:val="22"/>
        </w:rPr>
      </w:pPr>
      <w:r>
        <w:rPr>
          <w:rFonts w:asciiTheme="majorHAnsi" w:hAnsiTheme="majorHAnsi" w:cstheme="majorHAnsi"/>
          <w:sz w:val="22"/>
          <w:szCs w:val="22"/>
        </w:rPr>
        <w:t>Este proceso considera:</w:t>
      </w:r>
    </w:p>
    <w:p w:rsidRPr="00230A8F" w:rsidR="00230A8F" w:rsidP="00230A8F" w:rsidRDefault="00230A8F" w14:paraId="670BB833" w14:textId="77777777">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t>a) Limpieza de registros</w:t>
      </w:r>
    </w:p>
    <w:p w:rsidRPr="00230A8F" w:rsidR="00230A8F" w:rsidP="00230A8F" w:rsidRDefault="00230A8F" w14:paraId="47A66055" w14:textId="77777777">
      <w:pPr>
        <w:pStyle w:val="NormalWeb"/>
        <w:numPr>
          <w:ilvl w:val="0"/>
          <w:numId w:val="20"/>
        </w:numPr>
        <w:rPr>
          <w:rFonts w:asciiTheme="majorHAnsi" w:hAnsiTheme="majorHAnsi" w:cstheme="majorHAnsi"/>
          <w:sz w:val="22"/>
          <w:szCs w:val="22"/>
        </w:rPr>
      </w:pPr>
      <w:r>
        <w:rPr>
          <w:rFonts w:asciiTheme="majorHAnsi" w:hAnsiTheme="majorHAnsi" w:cstheme="majorHAnsi"/>
          <w:sz w:val="22"/>
          <w:szCs w:val="22"/>
        </w:rPr>
        <w:t>Exclusión de visitas técnicas no imputables.</w:t>
      </w:r>
    </w:p>
    <w:p w:rsidRPr="00230A8F" w:rsidR="00230A8F" w:rsidP="00230A8F" w:rsidRDefault="00230A8F" w14:paraId="54CA749E" w14:textId="77777777">
      <w:pPr>
        <w:pStyle w:val="NormalWeb"/>
        <w:numPr>
          <w:ilvl w:val="0"/>
          <w:numId w:val="20"/>
        </w:numPr>
        <w:rPr>
          <w:rFonts w:asciiTheme="majorHAnsi" w:hAnsiTheme="majorHAnsi" w:cstheme="majorHAnsi"/>
          <w:sz w:val="22"/>
          <w:szCs w:val="22"/>
        </w:rPr>
      </w:pPr>
      <w:r>
        <w:rPr>
          <w:rFonts w:asciiTheme="majorHAnsi" w:hAnsiTheme="majorHAnsi" w:cstheme="majorHAnsi"/>
          <w:sz w:val="22"/>
          <w:szCs w:val="22"/>
        </w:rPr>
        <w:t>Eliminación de duplicidades.</w:t>
      </w:r>
    </w:p>
    <w:p w:rsidRPr="00230A8F" w:rsidR="00230A8F" w:rsidP="00230A8F" w:rsidRDefault="00230A8F" w14:paraId="75E8C622" w14:textId="77777777">
      <w:pPr>
        <w:pStyle w:val="NormalWeb"/>
        <w:numPr>
          <w:ilvl w:val="0"/>
          <w:numId w:val="20"/>
        </w:numPr>
        <w:rPr>
          <w:rFonts w:asciiTheme="majorHAnsi" w:hAnsiTheme="majorHAnsi" w:cstheme="majorHAnsi"/>
          <w:sz w:val="22"/>
          <w:szCs w:val="22"/>
        </w:rPr>
      </w:pPr>
      <w:r>
        <w:rPr>
          <w:rFonts w:asciiTheme="majorHAnsi" w:hAnsiTheme="majorHAnsi" w:cstheme="majorHAnsi"/>
          <w:sz w:val="22"/>
          <w:szCs w:val="22"/>
        </w:rPr>
        <w:t>Corrección de errores evidentes de sistema.</w:t>
      </w:r>
    </w:p>
    <w:p w:rsidRPr="00230A8F" w:rsidR="00230A8F" w:rsidP="00230A8F" w:rsidRDefault="00230A8F" w14:paraId="7E060667" w14:textId="77777777">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t>b) Validación de jornadas</w:t>
      </w:r>
    </w:p>
    <w:p w:rsidRPr="00230A8F" w:rsidR="00230A8F" w:rsidP="00230A8F" w:rsidRDefault="00230A8F" w14:paraId="48308797" w14:textId="77777777">
      <w:pPr>
        <w:pStyle w:val="NormalWeb"/>
        <w:numPr>
          <w:ilvl w:val="0"/>
          <w:numId w:val="21"/>
        </w:numPr>
        <w:rPr>
          <w:rFonts w:asciiTheme="majorHAnsi" w:hAnsiTheme="majorHAnsi" w:cstheme="majorHAnsi"/>
          <w:sz w:val="22"/>
          <w:szCs w:val="22"/>
        </w:rPr>
      </w:pPr>
      <w:r>
        <w:rPr>
          <w:rFonts w:asciiTheme="majorHAnsi" w:hAnsiTheme="majorHAnsi" w:cstheme="majorHAnsi"/>
          <w:sz w:val="22"/>
          <w:szCs w:val="22"/>
        </w:rPr>
        <w:t>Revisión de acreditaciones parciales.</w:t>
      </w:r>
    </w:p>
    <w:p w:rsidRPr="00230A8F" w:rsidR="00230A8F" w:rsidP="00230A8F" w:rsidRDefault="00230A8F" w14:paraId="08CE9489" w14:textId="77777777">
      <w:pPr>
        <w:pStyle w:val="NormalWeb"/>
        <w:numPr>
          <w:ilvl w:val="0"/>
          <w:numId w:val="21"/>
        </w:numPr>
        <w:rPr>
          <w:rFonts w:asciiTheme="majorHAnsi" w:hAnsiTheme="majorHAnsi" w:cstheme="majorHAnsi"/>
          <w:sz w:val="22"/>
          <w:szCs w:val="22"/>
        </w:rPr>
      </w:pPr>
      <w:r>
        <w:rPr>
          <w:rFonts w:asciiTheme="majorHAnsi" w:hAnsiTheme="majorHAnsi" w:cstheme="majorHAnsi"/>
          <w:sz w:val="22"/>
          <w:szCs w:val="22"/>
        </w:rPr>
        <w:t>Ajuste proporcional cuando exista diferencia entre acreditación y consumo.</w:t>
      </w:r>
    </w:p>
    <w:p w:rsidRPr="00230A8F" w:rsidR="00230A8F" w:rsidP="00230A8F" w:rsidRDefault="00230A8F" w14:paraId="7824F5BA" w14:textId="77777777">
      <w:pPr>
        <w:pStyle w:val="NormalWeb"/>
        <w:numPr>
          <w:ilvl w:val="0"/>
          <w:numId w:val="21"/>
        </w:numPr>
        <w:rPr>
          <w:rFonts w:asciiTheme="majorHAnsi" w:hAnsiTheme="majorHAnsi" w:cstheme="majorHAnsi"/>
          <w:sz w:val="22"/>
          <w:szCs w:val="22"/>
        </w:rPr>
      </w:pPr>
      <w:r>
        <w:rPr>
          <w:rFonts w:asciiTheme="majorHAnsi" w:hAnsiTheme="majorHAnsi" w:cstheme="majorHAnsi"/>
          <w:sz w:val="22"/>
          <w:szCs w:val="22"/>
        </w:rPr>
        <w:t>Identificación de patrones de retiro anticipado o subutilización.</w:t>
      </w:r>
    </w:p>
    <w:p w:rsidRPr="00230A8F" w:rsidR="00230A8F" w:rsidP="00230A8F" w:rsidRDefault="00230A8F" w14:paraId="3CF3D5FC" w14:textId="77777777">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t>c) Verificación contractual</w:t>
      </w:r>
    </w:p>
    <w:p w:rsidRPr="00230A8F" w:rsidR="00230A8F" w:rsidP="00230A8F" w:rsidRDefault="00230A8F" w14:paraId="7164F04C" w14:textId="77777777">
      <w:pPr>
        <w:pStyle w:val="NormalWeb"/>
        <w:numPr>
          <w:ilvl w:val="0"/>
          <w:numId w:val="22"/>
        </w:numPr>
        <w:rPr>
          <w:rFonts w:asciiTheme="majorHAnsi" w:hAnsiTheme="majorHAnsi" w:cstheme="majorHAnsi"/>
          <w:sz w:val="22"/>
          <w:szCs w:val="22"/>
        </w:rPr>
      </w:pPr>
      <w:r>
        <w:rPr>
          <w:rFonts w:asciiTheme="majorHAnsi" w:hAnsiTheme="majorHAnsi" w:cstheme="majorHAnsi"/>
          <w:sz w:val="22"/>
          <w:szCs w:val="22"/>
        </w:rPr>
        <w:t>Validación de vigencia contractual en SAP.</w:t>
      </w:r>
    </w:p>
    <w:p w:rsidRPr="00230A8F" w:rsidR="00230A8F" w:rsidP="00230A8F" w:rsidRDefault="00230A8F" w14:paraId="486385F3" w14:textId="77777777">
      <w:pPr>
        <w:pStyle w:val="NormalWeb"/>
        <w:numPr>
          <w:ilvl w:val="0"/>
          <w:numId w:val="22"/>
        </w:numPr>
        <w:rPr>
          <w:rFonts w:asciiTheme="majorHAnsi" w:hAnsiTheme="majorHAnsi" w:cstheme="majorHAnsi"/>
          <w:sz w:val="22"/>
          <w:szCs w:val="22"/>
        </w:rPr>
      </w:pPr>
      <w:r>
        <w:rPr>
          <w:rFonts w:asciiTheme="majorHAnsi" w:hAnsiTheme="majorHAnsi" w:cstheme="majorHAnsi"/>
          <w:sz w:val="22"/>
          <w:szCs w:val="22"/>
        </w:rPr>
        <w:t>Contraste entre actividad registrada y marco contractual vigente.</w:t>
      </w:r>
    </w:p>
    <w:p w:rsidRPr="00230A8F" w:rsidR="00230A8F" w:rsidP="00230A8F" w:rsidRDefault="00230A8F" w14:paraId="2D169C50" w14:textId="77777777">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t>d) Contraste con fuentes de acreditación</w:t>
      </w:r>
    </w:p>
    <w:p w:rsidRPr="00230A8F" w:rsidR="00230A8F" w:rsidP="00230A8F" w:rsidRDefault="00230A8F" w14:paraId="57776527" w14:textId="77777777">
      <w:pPr>
        <w:pStyle w:val="NormalWeb"/>
        <w:numPr>
          <w:ilvl w:val="0"/>
          <w:numId w:val="23"/>
        </w:numPr>
        <w:rPr>
          <w:rFonts w:asciiTheme="majorHAnsi" w:hAnsiTheme="majorHAnsi" w:cstheme="majorHAnsi"/>
          <w:sz w:val="22"/>
          <w:szCs w:val="22"/>
        </w:rPr>
      </w:pPr>
      <w:r>
        <w:rPr>
          <w:rFonts w:asciiTheme="majorHAnsi" w:hAnsiTheme="majorHAnsi" w:cstheme="majorHAnsi"/>
          <w:sz w:val="22"/>
          <w:szCs w:val="22"/>
        </w:rPr>
        <w:t xml:space="preserve">Validación de la presencia efectiva del personal mediante el cruce con registros de acreditación </w:t>
      </w:r>
      <w:r>
        <w:rPr>
          <w:rStyle w:val="Fuerte"/>
          <w:rFonts w:asciiTheme="majorHAnsi" w:hAnsiTheme="majorHAnsi" w:cstheme="majorHAnsi"/>
          <w:b w:val="0"/>
          <w:bCs w:val="0"/>
          <w:sz w:val="22"/>
          <w:szCs w:val="22"/>
        </w:rPr>
        <w:t>E200</w:t>
      </w:r>
      <w:r>
        <w:rPr>
          <w:rFonts w:asciiTheme="majorHAnsi" w:hAnsiTheme="majorHAnsi" w:cstheme="majorHAnsi"/>
          <w:b/>
          <w:bCs/>
          <w:sz w:val="22"/>
          <w:szCs w:val="22"/>
        </w:rPr>
        <w:t>.</w:t>
      </w:r>
    </w:p>
    <w:p w:rsidRPr="00230A8F" w:rsidR="00230A8F" w:rsidP="00230A8F" w:rsidRDefault="00230A8F" w14:paraId="1A707CEF" w14:textId="77777777">
      <w:pPr>
        <w:pStyle w:val="NormalWeb"/>
        <w:numPr>
          <w:ilvl w:val="0"/>
          <w:numId w:val="23"/>
        </w:numPr>
        <w:rPr>
          <w:rFonts w:asciiTheme="majorHAnsi" w:hAnsiTheme="majorHAnsi" w:cstheme="majorHAnsi"/>
          <w:sz w:val="22"/>
          <w:szCs w:val="22"/>
        </w:rPr>
      </w:pPr>
      <w:r>
        <w:rPr>
          <w:rFonts w:asciiTheme="majorHAnsi" w:hAnsiTheme="majorHAnsi" w:cstheme="majorHAnsi"/>
          <w:sz w:val="22"/>
          <w:szCs w:val="22"/>
        </w:rPr>
        <w:t>Identificación de diferencias entre registros de SIGA y acreditaciones efectivas, tales como acreditaciones sin consumo o inconsistencias en la presencia reportada.</w:t>
      </w:r>
    </w:p>
    <w:p w:rsidR="004F4085" w:rsidP="00230A8F" w:rsidRDefault="00B86EF6" w14:paraId="63DB6E03" w14:textId="262BD3BA">
      <w:pPr>
        <w:pStyle w:val="NormalWeb"/>
        <w:rPr>
          <w:rFonts w:asciiTheme="majorHAnsi" w:hAnsiTheme="majorHAnsi" w:cstheme="majorHAnsi"/>
          <w:sz w:val="22"/>
          <w:szCs w:val="22"/>
        </w:rPr>
      </w:pPr>
      <w:r>
        <w:rPr>
          <w:rFonts w:asciiTheme="majorHAnsi" w:hAnsiTheme="majorHAnsi" w:cstheme="majorHAnsi"/>
          <w:sz w:val="22"/>
          <w:szCs w:val="22"/>
        </w:rPr>
        <w:t>En caso de detectarse inconsistencias relevantes que no puedan ser resueltas mediante ajustes, estas deberán ser escaladas para su validación antes de continuar con el proceso, dejando registro de los criterios aplicados y las decisiones adoptadas.</w:t>
      </w:r>
    </w:p>
    <w:p w:rsidR="004F4085" w:rsidP="00230A8F" w:rsidRDefault="004F4085" w14:paraId="62760E80" w14:textId="77777777">
      <w:pPr>
        <w:pStyle w:val="NormalWeb"/>
        <w:rPr>
          <w:rFonts w:asciiTheme="majorHAnsi" w:hAnsiTheme="majorHAnsi" w:cstheme="majorHAnsi"/>
          <w:sz w:val="22"/>
          <w:szCs w:val="22"/>
        </w:rPr>
      </w:pPr>
    </w:p>
    <w:p w:rsidRPr="003B05D3" w:rsidR="00972BC7" w:rsidP="00972BC7" w:rsidRDefault="00972BC7" w14:paraId="0F05962E" w14:textId="05FA4D7C">
      <w:pPr>
        <w:pStyle w:val="Ttulo2"/>
        <w:jc w:val="both"/>
        <w:rPr>
          <w:rFonts w:asciiTheme="majorHAnsi" w:hAnsiTheme="majorHAnsi"/>
          <w:color w:val="31849B" w:themeColor="accent5" w:themeShade="BF"/>
          <w:sz w:val="22"/>
        </w:rPr>
      </w:pPr>
      <w:bookmarkStart w:name="_Toc225762009" w:id="14"/>
      <w:r>
        <w:rPr>
          <w:rFonts w:asciiTheme="majorHAnsi" w:hAnsiTheme="majorHAnsi"/>
          <w:color w:val="31849B" w:themeColor="accent5" w:themeShade="BF"/>
          <w:sz w:val="22"/>
        </w:rPr>
        <w:t>5.4 Integración de hallazgos del control semanal</w:t>
      </w:r>
      <w:bookmarkEnd w:id="14"/>
    </w:p>
    <w:p w:rsidRPr="001871AC" w:rsidR="001871AC" w:rsidP="001871AC" w:rsidRDefault="001871AC" w14:paraId="2EDB8416" w14:textId="77777777">
      <w:pPr>
        <w:pStyle w:val="NormalWeb"/>
        <w:rPr>
          <w:rFonts w:asciiTheme="majorHAnsi" w:hAnsiTheme="majorHAnsi" w:cstheme="majorHAnsi"/>
          <w:sz w:val="22"/>
          <w:szCs w:val="22"/>
        </w:rPr>
      </w:pPr>
      <w:r>
        <w:rPr>
          <w:rFonts w:asciiTheme="majorHAnsi" w:hAnsiTheme="majorHAnsi" w:cstheme="majorHAnsi"/>
          <w:sz w:val="22"/>
          <w:szCs w:val="22"/>
        </w:rPr>
        <w:t>Previo al análisis de desviaciones, GST deberá integrar los resultados del control semanal de dotación FTE correspondientes al período en evaluación.</w:t>
      </w:r>
    </w:p>
    <w:p w:rsidRPr="001871AC" w:rsidR="001871AC" w:rsidP="001871AC" w:rsidRDefault="001871AC" w14:paraId="36670886" w14:textId="77777777">
      <w:pPr>
        <w:pStyle w:val="NormalWeb"/>
        <w:rPr>
          <w:rFonts w:asciiTheme="majorHAnsi" w:hAnsiTheme="majorHAnsi" w:cstheme="majorHAnsi"/>
          <w:sz w:val="22"/>
          <w:szCs w:val="22"/>
        </w:rPr>
      </w:pPr>
      <w:r>
        <w:rPr>
          <w:rFonts w:asciiTheme="majorHAnsi" w:hAnsiTheme="majorHAnsi" w:cstheme="majorHAnsi"/>
          <w:sz w:val="22"/>
          <w:szCs w:val="22"/>
        </w:rPr>
        <w:t>Esta integración deberá considerar, al menos:</w:t>
      </w:r>
    </w:p>
    <w:p w:rsidRPr="001871AC" w:rsidR="001871AC" w:rsidP="001871AC" w:rsidRDefault="001871AC" w14:paraId="29BECFED" w14:textId="77777777">
      <w:pPr>
        <w:pStyle w:val="NormalWeb"/>
        <w:rPr>
          <w:rFonts w:asciiTheme="majorHAnsi" w:hAnsiTheme="majorHAnsi" w:cstheme="majorHAnsi"/>
          <w:sz w:val="22"/>
          <w:szCs w:val="22"/>
        </w:rPr>
      </w:pPr>
      <w:r>
        <w:rPr>
          <w:rFonts w:asciiTheme="majorHAnsi" w:hAnsiTheme="majorHAnsi" w:cstheme="majorHAnsi"/>
          <w:sz w:val="22"/>
          <w:szCs w:val="22"/>
        </w:rPr>
        <w:t>• Desviaciones relevantes identificadas semanalmente.</w:t>
      </w:r>
      <w:r>
        <w:rPr>
          <w:rFonts w:asciiTheme="majorHAnsi" w:hAnsiTheme="majorHAnsi" w:cstheme="majorHAnsi"/>
          <w:sz w:val="22"/>
          <w:szCs w:val="22"/>
        </w:rPr>
        <w:br/>
      </w:r>
      <w:r>
        <w:rPr>
          <w:rFonts w:asciiTheme="majorHAnsi" w:hAnsiTheme="majorHAnsi" w:cstheme="majorHAnsi"/>
          <w:sz w:val="22"/>
          <w:szCs w:val="22"/>
        </w:rPr>
        <w:t>• Tendencias de crecimiento o disminución de dotación por contrato.</w:t>
      </w:r>
      <w:r>
        <w:rPr>
          <w:rFonts w:asciiTheme="majorHAnsi" w:hAnsiTheme="majorHAnsi" w:cstheme="majorHAnsi"/>
          <w:sz w:val="22"/>
          <w:szCs w:val="22"/>
        </w:rPr>
        <w:br/>
      </w:r>
      <w:r>
        <w:rPr>
          <w:rFonts w:asciiTheme="majorHAnsi" w:hAnsiTheme="majorHAnsi" w:cstheme="majorHAnsi"/>
          <w:sz w:val="22"/>
          <w:szCs w:val="22"/>
        </w:rPr>
        <w:t>• Alertas tempranas levantadas durante el período.</w:t>
      </w:r>
      <w:r>
        <w:rPr>
          <w:rFonts w:asciiTheme="majorHAnsi" w:hAnsiTheme="majorHAnsi" w:cstheme="majorHAnsi"/>
          <w:sz w:val="22"/>
          <w:szCs w:val="22"/>
        </w:rPr>
        <w:br/>
      </w:r>
      <w:r>
        <w:rPr>
          <w:rFonts w:asciiTheme="majorHAnsi" w:hAnsiTheme="majorHAnsi" w:cstheme="majorHAnsi"/>
          <w:sz w:val="22"/>
          <w:szCs w:val="22"/>
        </w:rPr>
        <w:t>• Contratos con comportamientos reiterativos o fuera de patrón.</w:t>
      </w:r>
    </w:p>
    <w:p w:rsidRPr="001871AC" w:rsidR="001871AC" w:rsidP="001871AC" w:rsidRDefault="001871AC" w14:paraId="183B895F" w14:textId="77777777">
      <w:pPr>
        <w:pStyle w:val="NormalWeb"/>
        <w:rPr>
          <w:rFonts w:asciiTheme="majorHAnsi" w:hAnsiTheme="majorHAnsi" w:cstheme="majorHAnsi"/>
          <w:sz w:val="22"/>
          <w:szCs w:val="22"/>
        </w:rPr>
      </w:pPr>
      <w:r>
        <w:rPr>
          <w:rFonts w:asciiTheme="majorHAnsi" w:hAnsiTheme="majorHAnsi" w:cstheme="majorHAnsi"/>
          <w:sz w:val="22"/>
          <w:szCs w:val="22"/>
        </w:rPr>
        <w:t>El objetivo de esta etapa es asegurar continuidad en el análisis dotacional, permitiendo enfocar el cierre mensual en la validación y profundización de las desviaciones previamente detectadas, así como en la identificación de eventuales brechas no capturadas durante el seguimiento semanal.</w:t>
      </w:r>
    </w:p>
    <w:p w:rsidRPr="00230A8F" w:rsidR="00972BC7" w:rsidP="00230A8F" w:rsidRDefault="001871AC" w14:paraId="7549105C" w14:textId="67BD0497">
      <w:pPr>
        <w:pStyle w:val="NormalWeb"/>
        <w:rPr>
          <w:rFonts w:asciiTheme="majorHAnsi" w:hAnsiTheme="majorHAnsi" w:cstheme="majorHAnsi"/>
          <w:sz w:val="22"/>
          <w:szCs w:val="22"/>
        </w:rPr>
      </w:pPr>
      <w:r>
        <w:rPr>
          <w:rFonts w:asciiTheme="majorHAnsi" w:hAnsiTheme="majorHAnsi" w:cstheme="majorHAnsi"/>
          <w:sz w:val="22"/>
          <w:szCs w:val="22"/>
        </w:rPr>
        <w:t xml:space="preserve">Esta información deberá ser utilizada como base para priorizar el análisis y la solicitud de explicaciones al AdC. </w:t>
      </w:r>
      <w:r>
        <w:rPr>
          <w:rFonts w:asciiTheme="majorHAnsi" w:hAnsiTheme="majorHAnsi" w:cstheme="majorHAnsi"/>
          <w:sz w:val="22"/>
          <w:szCs w:val="22"/>
          <w:lang w:val="es"/>
        </w:rPr>
        <w:t>En caso de identificarse desviaciones recurrentes o previamente alertadas que no hayan sido gestionadas durante el período, estas deberán ser destacadas explícitamente en el proceso de cierre y consideradas prioritarias en el análisis y en la definición de acciones.</w:t>
      </w:r>
    </w:p>
    <w:p w:rsidRPr="003B05D3" w:rsidR="00E6321A" w:rsidP="003B05D3" w:rsidRDefault="00D5319C" w14:paraId="03C35292" w14:textId="77777777">
      <w:pPr>
        <w:pStyle w:val="Ttulo2"/>
        <w:jc w:val="both"/>
        <w:rPr>
          <w:rFonts w:asciiTheme="majorHAnsi" w:hAnsiTheme="majorHAnsi"/>
          <w:color w:val="31849B" w:themeColor="accent5" w:themeShade="BF"/>
          <w:sz w:val="22"/>
        </w:rPr>
      </w:pPr>
      <w:bookmarkStart w:name="_Toc225762010" w:id="15"/>
      <w:r>
        <w:rPr>
          <w:rFonts w:asciiTheme="majorHAnsi" w:hAnsiTheme="majorHAnsi"/>
          <w:color w:val="31849B" w:themeColor="accent5" w:themeShade="BF"/>
          <w:sz w:val="22"/>
        </w:rPr>
        <w:t>5.5 Validación específica de categorías “Otros” y “Teletrabajo”</w:t>
      </w:r>
      <w:bookmarkEnd w:id="15"/>
    </w:p>
    <w:p w:rsidR="00E6321A" w:rsidP="003B05D3" w:rsidRDefault="00E6321A" w14:paraId="117DAA8C" w14:textId="6AC2BDBD">
      <w:pPr>
        <w:rPr>
          <w:rFonts w:asciiTheme="majorHAnsi" w:hAnsiTheme="majorHAnsi" w:cstheme="majorHAnsi"/>
          <w:lang w:val="es-CL"/>
        </w:rPr>
      </w:pPr>
      <w:r>
        <w:rPr>
          <w:rFonts w:asciiTheme="majorHAnsi" w:hAnsiTheme="majorHAnsi" w:cstheme="majorHAnsi"/>
          <w:lang w:val="es-CL"/>
        </w:rPr>
        <w:t xml:space="preserve">Dado que algunas categorías de dotación no se registran directamente en SIGA, es necesario realizar una validación utilizando </w:t>
      </w:r>
      <w:commentRangeStart w:id="16"/>
      <w:r>
        <w:rPr>
          <w:rFonts w:asciiTheme="majorHAnsi" w:hAnsiTheme="majorHAnsi" w:cstheme="majorHAnsi"/>
          <w:lang w:val="es-CL"/>
        </w:rPr>
        <w:t>el Informe de Fuerza Laboral emitido por Relaciones Laborales.</w:t>
      </w:r>
      <w:commentRangeEnd w:id="16"/>
      <w:r>
        <w:rPr>
          <w:rStyle w:val="Refdecomentario"/>
          <w:rFonts w:asciiTheme="majorHAnsi" w:hAnsiTheme="majorHAnsi" w:cstheme="majorHAnsi"/>
          <w:sz w:val="22"/>
          <w:szCs w:val="22"/>
          <w:lang w:val="es-CL"/>
        </w:rPr>
        <w:commentReference w:id="16"/>
      </w:r>
    </w:p>
    <w:p w:rsidRPr="00E6321A" w:rsidR="00E6321A" w:rsidP="003B05D3" w:rsidRDefault="00E6321A" w14:paraId="5B7247A2" w14:textId="77777777">
      <w:pPr>
        <w:rPr>
          <w:rFonts w:asciiTheme="majorHAnsi" w:hAnsiTheme="majorHAnsi" w:cstheme="majorHAnsi"/>
          <w:lang w:val="es-CL"/>
        </w:rPr>
      </w:pPr>
    </w:p>
    <w:p w:rsidRPr="00E6321A" w:rsidR="00E6321A" w:rsidP="003B05D3" w:rsidRDefault="00E6321A" w14:paraId="1D048192" w14:textId="77777777">
      <w:pPr>
        <w:rPr>
          <w:rFonts w:asciiTheme="majorHAnsi" w:hAnsiTheme="majorHAnsi" w:cstheme="majorHAnsi"/>
          <w:lang w:val="es-CL"/>
        </w:rPr>
      </w:pPr>
      <w:r>
        <w:rPr>
          <w:rFonts w:asciiTheme="majorHAnsi" w:hAnsiTheme="majorHAnsi" w:cstheme="majorHAnsi"/>
          <w:lang w:val="es-CL"/>
        </w:rPr>
        <w:t>GST deberá contrastar los registros consolidados con dicho informe, asegurando:</w:t>
      </w:r>
    </w:p>
    <w:p w:rsidRPr="00E6321A" w:rsidR="00E6321A" w:rsidP="003B05D3" w:rsidRDefault="00E6321A" w14:paraId="50EB872B" w14:textId="77777777">
      <w:pPr>
        <w:numPr>
          <w:ilvl w:val="0"/>
          <w:numId w:val="16"/>
        </w:numPr>
        <w:rPr>
          <w:rFonts w:asciiTheme="majorHAnsi" w:hAnsiTheme="majorHAnsi" w:cstheme="majorHAnsi"/>
          <w:lang w:val="es-CL"/>
        </w:rPr>
      </w:pPr>
      <w:r>
        <w:rPr>
          <w:rFonts w:asciiTheme="majorHAnsi" w:hAnsiTheme="majorHAnsi" w:cstheme="majorHAnsi"/>
          <w:lang w:val="es-CL"/>
        </w:rPr>
        <w:t>correcta clasificación</w:t>
      </w:r>
    </w:p>
    <w:p w:rsidRPr="00E6321A" w:rsidR="00E6321A" w:rsidP="003B05D3" w:rsidRDefault="00E6321A" w14:paraId="76AD613F" w14:textId="77777777">
      <w:pPr>
        <w:numPr>
          <w:ilvl w:val="0"/>
          <w:numId w:val="16"/>
        </w:numPr>
        <w:rPr>
          <w:rFonts w:asciiTheme="majorHAnsi" w:hAnsiTheme="majorHAnsi" w:cstheme="majorHAnsi"/>
          <w:lang w:val="es-CL"/>
        </w:rPr>
      </w:pPr>
      <w:r>
        <w:rPr>
          <w:rFonts w:asciiTheme="majorHAnsi" w:hAnsiTheme="majorHAnsi" w:cstheme="majorHAnsi"/>
          <w:lang w:val="es-CL"/>
        </w:rPr>
        <w:t>consistencia en la cantidad de personas</w:t>
      </w:r>
    </w:p>
    <w:p w:rsidRPr="00E6321A" w:rsidR="00E6321A" w:rsidP="003B05D3" w:rsidRDefault="00E6321A" w14:paraId="7478ABEA" w14:textId="77777777">
      <w:pPr>
        <w:numPr>
          <w:ilvl w:val="0"/>
          <w:numId w:val="16"/>
        </w:numPr>
        <w:rPr>
          <w:rFonts w:asciiTheme="majorHAnsi" w:hAnsiTheme="majorHAnsi" w:cstheme="majorHAnsi"/>
          <w:lang w:val="es-CL"/>
        </w:rPr>
      </w:pPr>
      <w:r>
        <w:rPr>
          <w:rFonts w:asciiTheme="majorHAnsi" w:hAnsiTheme="majorHAnsi" w:cstheme="majorHAnsi"/>
          <w:lang w:val="es-CL"/>
        </w:rPr>
        <w:t>coherencia con la ejecución del período</w:t>
      </w:r>
    </w:p>
    <w:p w:rsidRPr="00E6321A" w:rsidR="00E6321A" w:rsidP="003B05D3" w:rsidRDefault="00E6321A" w14:paraId="707389C4" w14:textId="3CA17BB1">
      <w:pPr>
        <w:rPr>
          <w:rFonts w:asciiTheme="majorHAnsi" w:hAnsiTheme="majorHAnsi" w:cstheme="majorHAnsi"/>
          <w:lang w:val="es-CL"/>
        </w:rPr>
      </w:pPr>
      <w:r>
        <w:rPr>
          <w:rFonts w:asciiTheme="majorHAnsi" w:hAnsiTheme="majorHAnsi" w:cstheme="majorHAnsi"/>
          <w:lang w:val="es-CL"/>
        </w:rPr>
        <w:t>La información validada será incorporada a la base final del mes.</w:t>
      </w:r>
    </w:p>
    <w:p w:rsidRPr="003B05D3" w:rsidR="00CF0D2A" w:rsidP="003B05D3" w:rsidRDefault="00D5319C" w14:paraId="12D3D22B" w14:textId="77777777">
      <w:pPr>
        <w:pStyle w:val="Ttulo2"/>
        <w:jc w:val="both"/>
        <w:rPr>
          <w:rFonts w:asciiTheme="majorHAnsi" w:hAnsiTheme="majorHAnsi"/>
          <w:color w:val="31849B" w:themeColor="accent5" w:themeShade="BF"/>
          <w:sz w:val="22"/>
        </w:rPr>
      </w:pPr>
      <w:bookmarkStart w:name="_Toc225762011" w:id="17"/>
      <w:r>
        <w:rPr>
          <w:rFonts w:asciiTheme="majorHAnsi" w:hAnsiTheme="majorHAnsi"/>
          <w:color w:val="31849B" w:themeColor="accent5" w:themeShade="BF"/>
          <w:sz w:val="22"/>
        </w:rPr>
        <w:t>5.6 Conversión y estandarización a FTE</w:t>
      </w:r>
      <w:bookmarkEnd w:id="17"/>
    </w:p>
    <w:p w:rsidR="00CF0D2A" w:rsidP="003B05D3" w:rsidRDefault="00CF0D2A" w14:paraId="1139646A" w14:textId="6D13A091">
      <w:pPr>
        <w:rPr>
          <w:rFonts w:asciiTheme="majorHAnsi" w:hAnsiTheme="majorHAnsi" w:cstheme="majorHAnsi"/>
          <w:lang w:val="es-CL"/>
        </w:rPr>
      </w:pPr>
      <w:r>
        <w:rPr>
          <w:rFonts w:asciiTheme="majorHAnsi" w:hAnsiTheme="majorHAnsi" w:cstheme="majorHAnsi"/>
          <w:lang w:val="es-CL"/>
        </w:rPr>
        <w:t>Una vez validada la información de dotación, los registros deben convertirse a FTE para permitir una medición homogénea de la dotación.</w:t>
      </w:r>
    </w:p>
    <w:p w:rsidRPr="00CF0D2A" w:rsidR="00CF0D2A" w:rsidP="003B05D3" w:rsidRDefault="00CF0D2A" w14:paraId="2007BA74" w14:textId="77777777">
      <w:pPr>
        <w:rPr>
          <w:rFonts w:asciiTheme="majorHAnsi" w:hAnsiTheme="majorHAnsi" w:cstheme="majorHAnsi"/>
          <w:lang w:val="es-CL"/>
        </w:rPr>
      </w:pPr>
    </w:p>
    <w:p w:rsidR="00CF0D2A" w:rsidP="003B05D3" w:rsidRDefault="00CF0D2A" w14:paraId="61CDE663" w14:textId="6EF5DB0D">
      <w:pPr>
        <w:rPr>
          <w:rFonts w:asciiTheme="majorHAnsi" w:hAnsiTheme="majorHAnsi" w:cstheme="majorHAnsi"/>
          <w:lang w:val="es-CL"/>
        </w:rPr>
      </w:pPr>
      <w:r>
        <w:rPr>
          <w:rFonts w:asciiTheme="majorHAnsi" w:hAnsiTheme="majorHAnsi" w:cstheme="majorHAnsi"/>
          <w:lang w:val="es-CL"/>
        </w:rPr>
        <w:t>Una vez validada la información base, GST procederá a la conversión de HeadCount a FTE conforme a los factores de jornada aplicables.</w:t>
      </w:r>
    </w:p>
    <w:p w:rsidRPr="00CF0D2A" w:rsidR="00CF0D2A" w:rsidP="003B05D3" w:rsidRDefault="00CF0D2A" w14:paraId="3C0E42B2" w14:textId="77777777">
      <w:pPr>
        <w:rPr>
          <w:rFonts w:asciiTheme="majorHAnsi" w:hAnsiTheme="majorHAnsi" w:cstheme="majorHAnsi"/>
          <w:lang w:val="es-CL"/>
        </w:rPr>
      </w:pPr>
    </w:p>
    <w:p w:rsidRPr="00CF0D2A" w:rsidR="00CF0D2A" w:rsidP="003B05D3" w:rsidRDefault="00CF0D2A" w14:paraId="1FC6104D" w14:textId="78DD409F">
      <w:pPr>
        <w:rPr>
          <w:rFonts w:asciiTheme="majorHAnsi" w:hAnsiTheme="majorHAnsi" w:cstheme="majorHAnsi"/>
          <w:lang w:val="es-CL"/>
        </w:rPr>
      </w:pPr>
      <w:r>
        <w:rPr>
          <w:rFonts w:asciiTheme="majorHAnsi" w:hAnsiTheme="majorHAnsi" w:cstheme="majorHAnsi"/>
          <w:lang w:val="es-CL"/>
        </w:rPr>
        <w:t>El objetivo de esta etapa es asegurar homogeneidad en la medición, permitiendo comparar de manera consistente la dotación real, contractual y presupuestada.</w:t>
      </w:r>
    </w:p>
    <w:p w:rsidRPr="00BF5BB2" w:rsidR="00BF5BB2" w:rsidP="00BF5BB2" w:rsidRDefault="00D5319C" w14:paraId="4C24284B" w14:textId="5B64BD93">
      <w:pPr>
        <w:pStyle w:val="Ttulo2"/>
        <w:spacing w:before="0"/>
        <w:jc w:val="both"/>
        <w:rPr>
          <w:rFonts w:asciiTheme="majorHAnsi" w:hAnsiTheme="majorHAnsi"/>
          <w:color w:val="31849B" w:themeColor="accent5" w:themeShade="BF"/>
          <w:sz w:val="22"/>
        </w:rPr>
      </w:pPr>
      <w:bookmarkStart w:name="_Toc225762012" w:id="18"/>
      <w:r>
        <w:rPr>
          <w:rFonts w:asciiTheme="majorHAnsi" w:hAnsiTheme="majorHAnsi"/>
          <w:color w:val="31849B" w:themeColor="accent5" w:themeShade="BF"/>
          <w:sz w:val="22"/>
        </w:rPr>
        <w:t>5.7 Conciliación dotacional mensual</w:t>
      </w:r>
      <w:bookmarkEnd w:id="18"/>
    </w:p>
    <w:p w:rsidR="00BF5BB2" w:rsidP="00D368B9" w:rsidRDefault="00BF5BB2" w14:paraId="5EABFCDD" w14:textId="09BF4FCA">
      <w:pPr>
        <w:rPr>
          <w:rFonts w:asciiTheme="majorHAnsi" w:hAnsiTheme="majorHAnsi" w:cstheme="majorHAnsi"/>
          <w:lang w:val="es-CL"/>
        </w:rPr>
      </w:pPr>
      <w:r>
        <w:rPr>
          <w:rFonts w:asciiTheme="majorHAnsi" w:hAnsiTheme="majorHAnsi" w:cstheme="majorHAnsi"/>
          <w:lang w:val="es-CL"/>
        </w:rPr>
        <w:t>En esta etapa se realiza la conciliación entre la dotación ejecutada, la dotación contractual vigente y la dotación presupuestada, integrando la información proveniente de SIGA, E200 y las declaraciones de EECC.</w:t>
      </w:r>
    </w:p>
    <w:p w:rsidRPr="00D368B9" w:rsidR="00D368B9" w:rsidP="00D368B9" w:rsidRDefault="00D368B9" w14:paraId="4425C381" w14:textId="77777777">
      <w:pPr>
        <w:rPr>
          <w:rFonts w:asciiTheme="majorHAnsi" w:hAnsiTheme="majorHAnsi" w:cstheme="majorHAnsi"/>
          <w:lang w:val="es-CL"/>
        </w:rPr>
      </w:pPr>
    </w:p>
    <w:p w:rsidR="00BF5BB2" w:rsidP="00D368B9" w:rsidRDefault="00BF5BB2" w14:paraId="209546B2" w14:textId="106F8DE3">
      <w:pPr>
        <w:rPr>
          <w:rFonts w:asciiTheme="majorHAnsi" w:hAnsiTheme="majorHAnsi" w:cstheme="majorHAnsi"/>
          <w:lang w:val="es-CL"/>
        </w:rPr>
      </w:pPr>
      <w:r>
        <w:rPr>
          <w:rFonts w:asciiTheme="majorHAnsi" w:hAnsiTheme="majorHAnsi" w:cstheme="majorHAnsi"/>
          <w:lang w:val="es-CL"/>
        </w:rPr>
        <w:t>Este cruce estructurado permite identificar diferencias entre las fuentes, tales como discrepancias entre la presencia operativa, la acreditación efectiva y la dotación reportada por el contratista.</w:t>
      </w:r>
    </w:p>
    <w:p w:rsidRPr="00D368B9" w:rsidR="00D368B9" w:rsidP="00D368B9" w:rsidRDefault="00D368B9" w14:paraId="71C905C2" w14:textId="77777777">
      <w:pPr>
        <w:rPr>
          <w:rFonts w:asciiTheme="majorHAnsi" w:hAnsiTheme="majorHAnsi" w:cstheme="majorHAnsi"/>
          <w:lang w:val="es-CL"/>
        </w:rPr>
      </w:pPr>
    </w:p>
    <w:p w:rsidRPr="00D368B9" w:rsidR="005C65B6" w:rsidP="00D368B9" w:rsidRDefault="005C65B6" w14:paraId="4B7AA0B7" w14:textId="77777777">
      <w:pPr>
        <w:rPr>
          <w:rFonts w:asciiTheme="majorHAnsi" w:hAnsiTheme="majorHAnsi" w:cstheme="majorHAnsi"/>
          <w:lang w:val="es-CL"/>
        </w:rPr>
      </w:pPr>
      <w:r>
        <w:rPr>
          <w:rFonts w:asciiTheme="majorHAnsi" w:hAnsiTheme="majorHAnsi" w:cstheme="majorHAnsi"/>
          <w:lang w:val="es-CL"/>
        </w:rPr>
        <w:t>Las desviaciones detectadas deberán ser analizadas en función de su origen y de su comportamiento durante el período, considerando su evolución a partir de los controles semanales.</w:t>
      </w:r>
    </w:p>
    <w:p w:rsidRPr="003B05D3" w:rsidR="00D5319C" w:rsidP="00BF5BB2" w:rsidRDefault="00D5319C" w14:paraId="15AA106D" w14:textId="13BCC267">
      <w:pPr>
        <w:pStyle w:val="Ttulo2"/>
        <w:jc w:val="both"/>
        <w:rPr>
          <w:rFonts w:asciiTheme="majorHAnsi" w:hAnsiTheme="majorHAnsi"/>
          <w:color w:val="31849B" w:themeColor="accent5" w:themeShade="BF"/>
          <w:sz w:val="22"/>
        </w:rPr>
      </w:pPr>
      <w:bookmarkStart w:name="_Toc_new_58" w:id="19"/>
      <w:bookmarkStart w:name="_Toc225762013" w:id="20"/>
      <w:r>
        <w:rPr>
          <w:rFonts w:asciiTheme="majorHAnsi" w:hAnsiTheme="majorHAnsi"/>
          <w:color w:val="31849B" w:themeColor="accent5" w:themeShade="BF"/>
          <w:sz w:val="22"/>
        </w:rPr>
        <w:t>5.8 Análisis de tendencias dotacionales y comparación presupuestaria</w:t>
      </w:r>
      <w:bookmarkEnd w:id="19"/>
      <w:bookmarkEnd w:id="20"/>
    </w:p>
    <w:p w:rsidR="00874A2F" w:rsidP="003B05D3" w:rsidRDefault="00874A2F" w14:paraId="1A2B3C01" w14:textId="77777777">
      <w:pPr>
        <w:rPr>
          <w:rFonts w:asciiTheme="majorHAnsi" w:hAnsiTheme="majorHAnsi" w:cstheme="majorHAnsi"/>
          <w:lang w:val="es-CL"/>
        </w:rPr>
      </w:pPr>
      <w:r>
        <w:rPr>
          <w:rFonts w:asciiTheme="majorHAnsi" w:hAnsiTheme="majorHAnsi" w:cstheme="majorHAnsi"/>
          <w:lang w:val="es-CL"/>
        </w:rPr>
        <w:t>Una vez completada la conciliación dotacional, GST realizará un análisis de tendencias que permita evaluar el comportamiento de la dotación ejecutada en relación con el presupuesto aprobado 2026 y con la dotación solicitada por las gerencias, con el propósito de identificar contratos que presentan solicitudes de dotación por sobre lo aprobado y analizar las justificaciones asociadas.</w:t>
      </w:r>
    </w:p>
    <w:p w:rsidR="00BC363A" w:rsidP="003B05D3" w:rsidRDefault="00BC363A" w14:paraId="489BFEA2" w14:textId="77777777">
      <w:pPr>
        <w:rPr>
          <w:rFonts w:asciiTheme="majorHAnsi" w:hAnsiTheme="majorHAnsi" w:cstheme="majorHAnsi"/>
          <w:lang w:val="es-CL"/>
        </w:rPr>
      </w:pPr>
    </w:p>
    <w:p w:rsidR="00874A2F" w:rsidP="003B05D3" w:rsidRDefault="00874A2F" w14:paraId="1A2B3C02" w14:textId="77777777">
      <w:pPr>
        <w:rPr>
          <w:rFonts w:asciiTheme="majorHAnsi" w:hAnsiTheme="majorHAnsi" w:cstheme="majorHAnsi"/>
          <w:lang w:val="es-CL"/>
        </w:rPr>
      </w:pPr>
      <w:r>
        <w:rPr>
          <w:rFonts w:asciiTheme="majorHAnsi" w:hAnsiTheme="majorHAnsi" w:cstheme="majorHAnsi"/>
          <w:lang w:val="es-CL"/>
        </w:rPr>
        <w:t>Este análisis considera los siguientes ejes de comparación: la dotación real ejecutada versus el presupuesto aprobado 2026, la dotación solicitada por las gerencias versus la dotación aprobada, y la brecha entre ambas referencias, expresada en FTE. El objetivo es determinar en qué medida la ejecución real se ubica por debajo o por encima del nivel aprobado, identificando los contratos que concentran las mayores desviaciones y evaluando si estas responden a necesidades operativas debidamente justificadas o a</w:t>
      </w:r>
      <w:r>
        <w:rPr>
          <w:rFonts w:asciiTheme="majorHAnsi" w:hAnsiTheme="majorHAnsi" w:cstheme="majorHAnsi"/>
          <w:lang w:val="es-CL"/>
        </w:rPr>
        <w:t xml:space="preserve"> patrones de solicitud sistemáticamente superiores a la dotación sancionada.</w:t>
      </w:r>
    </w:p>
    <w:p w:rsidR="00BC363A" w:rsidP="003B05D3" w:rsidRDefault="00BC363A" w14:paraId="7EDDACB0" w14:textId="77777777">
      <w:pPr>
        <w:rPr>
          <w:rFonts w:asciiTheme="majorHAnsi" w:hAnsiTheme="majorHAnsi" w:cstheme="majorHAnsi"/>
          <w:lang w:val="es-CL"/>
        </w:rPr>
      </w:pPr>
    </w:p>
    <w:p w:rsidR="00874A2F" w:rsidP="003B05D3" w:rsidRDefault="00874A2F" w14:paraId="1A2B3C03" w14:textId="77777777">
      <w:pPr>
        <w:rPr>
          <w:rFonts w:asciiTheme="majorHAnsi" w:hAnsiTheme="majorHAnsi" w:cstheme="majorHAnsi"/>
          <w:lang w:val="es-CL"/>
        </w:rPr>
      </w:pPr>
      <w:r>
        <w:rPr>
          <w:rFonts w:asciiTheme="majorHAnsi" w:hAnsiTheme="majorHAnsi" w:cstheme="majorHAnsi"/>
          <w:lang w:val="es-CL"/>
        </w:rPr>
        <w:t>Para aquellos contratos en que la dotación solicitada supere consistentemente lo aprobado, GST requerirá al AdC MLP las justificaciones operativas correspondientes, evaluando su razonabilidad en función del alcance contractual, la dotación histórica y la proyección del servicio. Los resultados de este análisis deberán quedar registrados en el cierre mensual y constituirán un insumo relevante para la elaboración del Outlook dotacional y para la eventual revisión del presupuesto aprobado.</w:t>
      </w:r>
    </w:p>
    <w:p w:rsidR="00874A2F" w:rsidP="00D368B9" w:rsidRDefault="00874A2F" w14:paraId="1A2B3C04" w14:textId="77777777">
      <w:pPr>
        <w:pStyle w:val="Ttulo2"/>
        <w:jc w:val="both"/>
        <w:rPr>
          <w:rFonts w:asciiTheme="majorHAnsi" w:hAnsiTheme="majorHAnsi"/>
          <w:color w:val="31849B" w:themeColor="accent5" w:themeShade="BF"/>
          <w:sz w:val="22"/>
        </w:rPr>
      </w:pPr>
      <w:bookmarkStart w:name="_Toc224725696_new" w:id="21"/>
      <w:bookmarkStart w:name="_Toc225762014" w:id="22"/>
      <w:r>
        <w:rPr>
          <w:rFonts w:asciiTheme="majorHAnsi" w:hAnsiTheme="majorHAnsi"/>
          <w:color w:val="31849B" w:themeColor="accent5" w:themeShade="BF"/>
          <w:sz w:val="22"/>
        </w:rPr>
        <w:t>5.9 Solicitud y evaluación de explicaciones</w:t>
      </w:r>
      <w:bookmarkEnd w:id="21"/>
      <w:bookmarkEnd w:id="22"/>
    </w:p>
    <w:p w:rsidR="00880A91" w:rsidP="003B05D3" w:rsidRDefault="00880A91" w14:paraId="2A511C9E" w14:textId="1C8314C7">
      <w:pPr>
        <w:rPr>
          <w:rFonts w:asciiTheme="majorHAnsi" w:hAnsiTheme="majorHAnsi" w:cstheme="majorHAnsi"/>
          <w:lang w:val="es-CL"/>
        </w:rPr>
      </w:pPr>
      <w:r>
        <w:rPr>
          <w:rFonts w:asciiTheme="majorHAnsi" w:hAnsiTheme="majorHAnsi" w:cstheme="majorHAnsi"/>
          <w:lang w:val="es-CL"/>
        </w:rPr>
        <w:t>Una vez identificadas las desviaciones, estas deberán ser informadas AdC MLP, quien deberá entregar una explicación formal respecto de las causas operativas que originaron la variación observada.</w:t>
      </w:r>
    </w:p>
    <w:p w:rsidRPr="00880A91" w:rsidR="00880A91" w:rsidP="003B05D3" w:rsidRDefault="00880A91" w14:paraId="24C2933F" w14:textId="77777777">
      <w:pPr>
        <w:rPr>
          <w:rFonts w:asciiTheme="majorHAnsi" w:hAnsiTheme="majorHAnsi" w:cstheme="majorHAnsi"/>
          <w:lang w:val="es-CL"/>
        </w:rPr>
      </w:pPr>
    </w:p>
    <w:p w:rsidR="00880A91" w:rsidP="0086029A" w:rsidRDefault="0086029A" w14:paraId="0EF8E314" w14:textId="3055468C">
      <w:pPr>
        <w:rPr>
          <w:rFonts w:asciiTheme="majorHAnsi" w:hAnsiTheme="majorHAnsi" w:cstheme="majorHAnsi"/>
          <w:lang w:val="es-CL"/>
        </w:rPr>
      </w:pPr>
      <w:r>
        <w:rPr>
          <w:rFonts w:asciiTheme="majorHAnsi" w:hAnsiTheme="majorHAnsi" w:cstheme="majorHAnsi"/>
          <w:lang w:val="es-CL"/>
        </w:rPr>
        <w:t>Las explicaciones deberán abordar la causa raíz de la desviación, su temporalidad esperada, su evolución durante el período y su proyección futura, considerando como referencia los controles semanales y las alertas previamente levantadas. En este contexto, no se considerarán suficientes aquellas explicaciones que no den cuenta de desviaciones recurrentes o previamente identificadas.</w:t>
      </w:r>
    </w:p>
    <w:p w:rsidRPr="00880A91" w:rsidR="0086029A" w:rsidP="0086029A" w:rsidRDefault="0086029A" w14:paraId="431A683D" w14:textId="77777777">
      <w:pPr>
        <w:rPr>
          <w:rFonts w:asciiTheme="majorHAnsi" w:hAnsiTheme="majorHAnsi" w:cstheme="majorHAnsi"/>
          <w:lang w:val="es-CL"/>
        </w:rPr>
      </w:pPr>
    </w:p>
    <w:p w:rsidRPr="00880A91" w:rsidR="00880A91" w:rsidP="003B05D3" w:rsidRDefault="00880A91" w14:paraId="1C60D20D" w14:textId="0BB3BDC7">
      <w:pPr>
        <w:rPr>
          <w:rFonts w:asciiTheme="majorHAnsi" w:hAnsiTheme="majorHAnsi" w:cstheme="majorHAnsi"/>
          <w:lang w:val="es-CL"/>
        </w:rPr>
      </w:pPr>
      <w:r>
        <w:rPr>
          <w:rFonts w:asciiTheme="majorHAnsi" w:hAnsiTheme="majorHAnsi" w:cstheme="majorHAnsi"/>
          <w:lang w:val="es-CL"/>
        </w:rPr>
        <w:t>Sobre la base de esta información, GST evaluará la razonabilidad de las explicaciones entregadas y su coherencia con la ejecución observada durante el período. La existencia de una explicación operativa no implica, por sí sola, la validación automática de la desviación detectada.</w:t>
      </w:r>
    </w:p>
    <w:p w:rsidRPr="003B05D3" w:rsidR="00D5319C" w:rsidP="003B05D3" w:rsidRDefault="00D5319C" w14:paraId="323A3F97" w14:textId="77777777">
      <w:pPr>
        <w:pStyle w:val="Ttulo2"/>
        <w:jc w:val="both"/>
        <w:rPr>
          <w:rFonts w:asciiTheme="majorHAnsi" w:hAnsiTheme="majorHAnsi"/>
          <w:color w:val="31849B" w:themeColor="accent5" w:themeShade="BF"/>
          <w:sz w:val="22"/>
        </w:rPr>
      </w:pPr>
      <w:bookmarkStart w:name="_Toc225762015" w:id="23"/>
      <w:r>
        <w:rPr>
          <w:rFonts w:asciiTheme="majorHAnsi" w:hAnsiTheme="majorHAnsi"/>
          <w:color w:val="31849B" w:themeColor="accent5" w:themeShade="BF"/>
          <w:sz w:val="22"/>
        </w:rPr>
        <w:t>5.10 Clasificación y definición de acciones</w:t>
      </w:r>
      <w:bookmarkEnd w:id="23"/>
    </w:p>
    <w:p w:rsidR="00A16D82" w:rsidP="003B05D3" w:rsidRDefault="00A16D82" w14:paraId="01D7DE92" w14:textId="77777777">
      <w:pPr>
        <w:rPr>
          <w:rFonts w:asciiTheme="majorHAnsi" w:hAnsiTheme="majorHAnsi" w:cstheme="majorHAnsi"/>
          <w:lang w:val="es-CL"/>
        </w:rPr>
      </w:pPr>
      <w:r>
        <w:rPr>
          <w:rFonts w:asciiTheme="majorHAnsi" w:hAnsiTheme="majorHAnsi" w:cstheme="majorHAnsi"/>
          <w:lang w:val="es-CL"/>
        </w:rPr>
        <w:t>Sobre la base de la evaluación realizada, Gestión de Servicios Terceros (GST) procederá a clasificar las desviaciones identificadas conforme al árbol de decisión vigente. Esta clasificación permite determinar el tipo de gestión que corresponde aplicar en cada caso, considerando la naturaleza de la desviación, su recurrencia y su impacto potencial en la ejecución del contrato.</w:t>
      </w:r>
    </w:p>
    <w:p w:rsidRPr="00A16D82" w:rsidR="00720794" w:rsidP="003B05D3" w:rsidRDefault="00720794" w14:paraId="526D5055" w14:textId="77777777">
      <w:pPr>
        <w:rPr>
          <w:rFonts w:asciiTheme="majorHAnsi" w:hAnsiTheme="majorHAnsi" w:cstheme="majorHAnsi"/>
          <w:lang w:val="es-CL"/>
        </w:rPr>
      </w:pPr>
    </w:p>
    <w:p w:rsidRPr="00A16D82" w:rsidR="00D5319C" w:rsidP="003B05D3" w:rsidRDefault="00A16D82" w14:paraId="282D19AA" w14:textId="061E0B78">
      <w:pPr>
        <w:rPr>
          <w:rFonts w:asciiTheme="majorHAnsi" w:hAnsiTheme="majorHAnsi" w:cstheme="majorHAnsi"/>
          <w:lang w:val="es-CL"/>
        </w:rPr>
      </w:pPr>
      <w:r>
        <w:rPr>
          <w:rFonts w:asciiTheme="majorHAnsi" w:hAnsiTheme="majorHAnsi" w:cstheme="majorHAnsi"/>
          <w:lang w:val="es-CL"/>
        </w:rPr>
        <w:t>En función de este análisis, GST definirá las acciones de gestión correspondientes, las cuales podrán incluir seguimiento operativo, escalamiento a instancias de gestión, desarrollo de análisis estructurales o incorporación de la desviación en el análisis del outlook dotacional.</w:t>
      </w:r>
    </w:p>
    <w:p w:rsidRPr="003B05D3" w:rsidR="00D5319C" w:rsidP="003B05D3" w:rsidRDefault="00D5319C" w14:paraId="653E68AB" w14:textId="77777777">
      <w:pPr>
        <w:pStyle w:val="Ttulo2"/>
        <w:jc w:val="both"/>
        <w:rPr>
          <w:rFonts w:asciiTheme="majorHAnsi" w:hAnsiTheme="majorHAnsi"/>
          <w:color w:val="31849B" w:themeColor="accent5" w:themeShade="BF"/>
          <w:sz w:val="22"/>
        </w:rPr>
      </w:pPr>
      <w:bookmarkStart w:name="_Toc225762016" w:id="24"/>
      <w:r>
        <w:rPr>
          <w:rFonts w:asciiTheme="majorHAnsi" w:hAnsiTheme="majorHAnsi"/>
          <w:color w:val="31849B" w:themeColor="accent5" w:themeShade="BF"/>
          <w:sz w:val="22"/>
        </w:rPr>
        <w:t>5.11 Formalización del dato FTE oficial</w:t>
      </w:r>
      <w:bookmarkEnd w:id="24"/>
    </w:p>
    <w:p w:rsidR="008E3BD7" w:rsidP="003B05D3" w:rsidRDefault="008E3BD7" w14:paraId="28645433" w14:textId="77777777">
      <w:pPr>
        <w:rPr>
          <w:rFonts w:asciiTheme="majorHAnsi" w:hAnsiTheme="majorHAnsi" w:cstheme="majorHAnsi"/>
          <w:lang w:val="es-CL"/>
        </w:rPr>
      </w:pPr>
      <w:r>
        <w:rPr>
          <w:rFonts w:asciiTheme="majorHAnsi" w:hAnsiTheme="majorHAnsi" w:cstheme="majorHAnsi"/>
          <w:lang w:val="es-CL"/>
        </w:rPr>
        <w:t>Una vez concluidas las etapas de análisis, evaluación y definición de acciones, Gestión de Servicios Terceros procederá a consolidar y formalizar el dato FTE del período. En esta instancia, el valor resultante queda oficialmente validado y se establece como el dato definitivo del mes.</w:t>
      </w:r>
    </w:p>
    <w:p w:rsidRPr="008E3BD7" w:rsidR="00720794" w:rsidP="003B05D3" w:rsidRDefault="00720794" w14:paraId="5A5AE0C6" w14:textId="77777777">
      <w:pPr>
        <w:rPr>
          <w:rFonts w:asciiTheme="majorHAnsi" w:hAnsiTheme="majorHAnsi" w:cstheme="majorHAnsi"/>
          <w:lang w:val="es-CL"/>
        </w:rPr>
      </w:pPr>
    </w:p>
    <w:p w:rsidRPr="008E3BD7" w:rsidR="008E3BD7" w:rsidP="003B05D3" w:rsidRDefault="008E3BD7" w14:paraId="2BFEEEE3" w14:textId="77777777">
      <w:pPr>
        <w:rPr>
          <w:rFonts w:asciiTheme="majorHAnsi" w:hAnsiTheme="majorHAnsi" w:cstheme="majorHAnsi"/>
          <w:lang w:val="es-CL"/>
        </w:rPr>
      </w:pPr>
      <w:r>
        <w:rPr>
          <w:rFonts w:asciiTheme="majorHAnsi" w:hAnsiTheme="majorHAnsi" w:cstheme="majorHAnsi"/>
          <w:lang w:val="es-CL"/>
        </w:rPr>
        <w:t>A partir de su formalización, el dato FTE del período se transforma en la única referencia oficial válida para efectos de control presupuestario, análisis de gestión y reportabilidad corporativa, prevaleciendo sobre cualquier estimación preliminar o registro en revisión.</w:t>
      </w:r>
    </w:p>
    <w:p w:rsidRPr="008E3BD7" w:rsidR="008E3BD7" w:rsidP="003B05D3" w:rsidRDefault="008E3BD7" w14:paraId="4CA6748B" w14:textId="77777777"/>
    <w:p w:rsidRPr="003B05D3" w:rsidR="00D5319C" w:rsidP="003B05D3" w:rsidRDefault="00D5319C" w14:paraId="5C7B0BE4" w14:textId="77777777">
      <w:pPr>
        <w:pStyle w:val="Ttulo2"/>
        <w:jc w:val="both"/>
        <w:rPr>
          <w:rFonts w:asciiTheme="majorHAnsi" w:hAnsiTheme="majorHAnsi"/>
          <w:color w:val="31849B" w:themeColor="accent5" w:themeShade="BF"/>
          <w:sz w:val="22"/>
        </w:rPr>
      </w:pPr>
      <w:bookmarkStart w:name="_Toc225762017" w:id="25"/>
      <w:r>
        <w:rPr>
          <w:rFonts w:asciiTheme="majorHAnsi" w:hAnsiTheme="majorHAnsi"/>
          <w:color w:val="31849B" w:themeColor="accent5" w:themeShade="BF"/>
          <w:sz w:val="22"/>
        </w:rPr>
        <w:t>5.12 Emisión de reporte y cierre formal</w:t>
      </w:r>
      <w:bookmarkEnd w:id="25"/>
    </w:p>
    <w:p w:rsidR="008E3BD7" w:rsidP="003B05D3" w:rsidRDefault="008E3BD7" w14:paraId="4ECB0480" w14:textId="77777777">
      <w:pPr>
        <w:rPr>
          <w:rFonts w:asciiTheme="majorHAnsi" w:hAnsiTheme="majorHAnsi" w:cstheme="majorHAnsi"/>
          <w:lang w:val="es-CL"/>
        </w:rPr>
      </w:pPr>
      <w:r>
        <w:rPr>
          <w:rFonts w:asciiTheme="majorHAnsi" w:hAnsiTheme="majorHAnsi" w:cstheme="majorHAnsi"/>
          <w:lang w:val="es-CL"/>
        </w:rPr>
        <w:t>Finalmente, se elaborará el reporte mensual de desempeño dotacional, el cual documenta los resultados del cierre, las desviaciones identificadas y las decisiones de gestión adoptadas durante el proceso.</w:t>
      </w:r>
    </w:p>
    <w:p w:rsidRPr="008E3BD7" w:rsidR="00720794" w:rsidP="003B05D3" w:rsidRDefault="00720794" w14:paraId="2C1ABAEF" w14:textId="77777777">
      <w:pPr>
        <w:rPr>
          <w:rFonts w:asciiTheme="majorHAnsi" w:hAnsiTheme="majorHAnsi" w:cstheme="majorHAnsi"/>
          <w:lang w:val="es-CL"/>
        </w:rPr>
      </w:pPr>
    </w:p>
    <w:p w:rsidR="008E3BD7" w:rsidP="003B05D3" w:rsidRDefault="008E3BD7" w14:paraId="031CB1ED" w14:textId="51D1C08E">
      <w:pPr>
        <w:rPr>
          <w:rFonts w:asciiTheme="majorHAnsi" w:hAnsiTheme="majorHAnsi" w:cstheme="majorHAnsi"/>
          <w:lang w:val="es-CL"/>
        </w:rPr>
      </w:pPr>
      <w:r>
        <w:rPr>
          <w:rFonts w:asciiTheme="majorHAnsi" w:hAnsiTheme="majorHAnsi" w:cstheme="majorHAnsi"/>
          <w:lang w:val="es-CL"/>
        </w:rPr>
        <w:t>Con la emisión de este reporte se declara formalmente cerrado el período, estableciendo el punto a partir del cual no se admitirán modificaciones retroactivas a la información correspondiente al mes analizado.</w:t>
      </w:r>
    </w:p>
    <w:p w:rsidRPr="008E3BD7" w:rsidR="00DF694C" w:rsidP="008E3BD7" w:rsidRDefault="00DF694C" w14:paraId="1D88CADB" w14:textId="77777777">
      <w:pPr>
        <w:ind w:left="720"/>
        <w:rPr>
          <w:rFonts w:asciiTheme="majorHAnsi" w:hAnsiTheme="majorHAnsi" w:cstheme="majorHAnsi"/>
          <w:lang w:val="es-CL"/>
        </w:rPr>
      </w:pPr>
    </w:p>
    <w:p w:rsidRPr="00DF694C" w:rsidR="000A6052" w:rsidP="00D95800" w:rsidRDefault="00E6057B" w14:paraId="28AC0E8F" w14:textId="77777777">
      <w:pPr>
        <w:pStyle w:val="Ttulo1"/>
        <w:spacing w:line="240" w:lineRule="auto"/>
        <w:jc w:val="both"/>
        <w:rPr>
          <w:rFonts w:asciiTheme="majorHAnsi" w:hAnsiTheme="majorHAnsi"/>
          <w:color w:val="31849B" w:themeColor="accent5" w:themeShade="BF"/>
          <w:sz w:val="22"/>
          <w:szCs w:val="32"/>
        </w:rPr>
      </w:pPr>
      <w:bookmarkStart w:name="_Toc225762018" w:id="26"/>
      <w:r>
        <w:rPr>
          <w:rFonts w:asciiTheme="majorHAnsi" w:hAnsiTheme="majorHAnsi"/>
          <w:color w:val="31849B" w:themeColor="accent5" w:themeShade="BF"/>
          <w:sz w:val="22"/>
          <w:szCs w:val="32"/>
        </w:rPr>
        <w:t>6. Validación y formalización del cierre</w:t>
      </w:r>
      <w:bookmarkEnd w:id="26"/>
    </w:p>
    <w:p w:rsidRPr="00591E00" w:rsidR="000A6052" w:rsidP="00591E00" w:rsidRDefault="00E6057B" w14:paraId="6BB74835" w14:textId="74AE3F90">
      <w:pPr>
        <w:rPr>
          <w:rFonts w:asciiTheme="majorHAnsi" w:hAnsiTheme="majorHAnsi" w:cstheme="majorHAnsi"/>
        </w:rPr>
      </w:pPr>
      <w:r>
        <w:rPr>
          <w:rFonts w:asciiTheme="majorHAnsi" w:hAnsiTheme="majorHAnsi" w:cstheme="majorHAnsi"/>
        </w:rPr>
        <w:t>Una vez analizadas las desviaciones y definidas las acciones asociadas, GST procederá a la validación y formalización del cierre mensual, estableciendo el dato FTE oficial del período y dejando registro explícito de las decisiones adoptadas durante el proceso.</w:t>
      </w:r>
    </w:p>
    <w:p w:rsidRPr="00591E00" w:rsidR="00F91CEC" w:rsidP="0EEC0A37" w:rsidRDefault="00F91CEC" w14:paraId="2D3FA3D6" w14:textId="77777777">
      <w:pPr>
        <w:rPr>
          <w:rFonts w:asciiTheme="majorHAnsi" w:hAnsiTheme="majorHAnsi" w:cstheme="majorBidi"/>
          <w:lang w:val="es-ES"/>
        </w:rPr>
      </w:pPr>
      <w:r>
        <w:rPr>
          <w:rFonts w:asciiTheme="majorHAnsi" w:hAnsiTheme="majorHAnsi" w:cstheme="majorBidi"/>
          <w:lang w:val="es-ES"/>
        </w:rPr>
        <w:t>La formalización del cierre constituye la instancia final del proceso mensual de gestión dotacional y establece el punto de corte a partir del cual no se admiten modificaciones ni reinterpretaciones de la información del período. Desde este momento, el dato FTE mensual validado se transforma en la única referencia oficial para efectos de reportabilidad, análisis financiero, control presupuestario, evaluación de desempeño y proyecciones futuras.</w:t>
      </w:r>
    </w:p>
    <w:p w:rsidRPr="00DF694C" w:rsidR="000A6052" w:rsidP="00F61CF6" w:rsidRDefault="00E6057B" w14:paraId="41B165F7" w14:textId="7C2EDF76">
      <w:pPr>
        <w:pStyle w:val="Ttulo1"/>
        <w:jc w:val="both"/>
        <w:rPr>
          <w:rFonts w:asciiTheme="majorHAnsi" w:hAnsiTheme="majorHAnsi"/>
          <w:color w:val="31849B" w:themeColor="accent5" w:themeShade="BF"/>
          <w:sz w:val="22"/>
          <w:szCs w:val="32"/>
        </w:rPr>
      </w:pPr>
      <w:bookmarkStart w:name="_Toc225762019" w:id="27"/>
      <w:r>
        <w:rPr>
          <w:rFonts w:asciiTheme="majorHAnsi" w:hAnsiTheme="majorHAnsi"/>
          <w:color w:val="31849B" w:themeColor="accent5" w:themeShade="BF"/>
          <w:sz w:val="22"/>
          <w:szCs w:val="32"/>
        </w:rPr>
        <w:t>7. Registro y trazabilidad</w:t>
      </w:r>
      <w:bookmarkEnd w:id="27"/>
    </w:p>
    <w:p w:rsidRPr="00F61CF6" w:rsidR="00F61CF6" w:rsidP="00F61CF6" w:rsidRDefault="00F61CF6" w14:paraId="21865188" w14:textId="77777777">
      <w:pPr>
        <w:jc w:val="both"/>
        <w:rPr>
          <w:rFonts w:eastAsia="Calibri" w:asciiTheme="majorHAnsi" w:hAnsiTheme="majorHAnsi" w:cstheme="majorHAnsi"/>
          <w:lang w:val="es-CL"/>
        </w:rPr>
      </w:pPr>
      <w:r>
        <w:rPr>
          <w:rFonts w:eastAsia="Calibri" w:asciiTheme="majorHAnsi" w:hAnsiTheme="majorHAnsi" w:cstheme="majorHAnsi"/>
          <w:lang w:val="es-CL"/>
        </w:rPr>
        <w:t>El cierre mensual deberá quedar respaldado mediante un registro documentado que permita reconstruir de forma trazable la dotación FTE validada, las desviaciones identificadas, las causas asociadas y las decisiones de gestión adoptadas.</w:t>
      </w:r>
    </w:p>
    <w:p w:rsidRPr="00F61CF6" w:rsidR="00F61CF6" w:rsidP="00F61CF6" w:rsidRDefault="00F61CF6" w14:paraId="21982577" w14:textId="77777777">
      <w:pPr>
        <w:spacing w:line="240" w:lineRule="auto"/>
        <w:jc w:val="both"/>
        <w:rPr>
          <w:rFonts w:eastAsia="Calibri" w:asciiTheme="majorHAnsi" w:hAnsiTheme="majorHAnsi" w:cstheme="majorHAnsi"/>
          <w:lang w:val="es-CL"/>
        </w:rPr>
      </w:pPr>
    </w:p>
    <w:p w:rsidRPr="00F61CF6" w:rsidR="00F61CF6" w:rsidP="00F61CF6" w:rsidRDefault="00F61CF6" w14:paraId="38F29D9B" w14:textId="1DD73B41">
      <w:pPr>
        <w:spacing w:line="240" w:lineRule="auto"/>
        <w:jc w:val="both"/>
        <w:rPr>
          <w:rFonts w:eastAsia="Calibri" w:asciiTheme="majorHAnsi" w:hAnsiTheme="majorHAnsi" w:cstheme="majorHAnsi"/>
          <w:lang w:val="es-CL"/>
        </w:rPr>
      </w:pPr>
      <w:r>
        <w:rPr>
          <w:rFonts w:eastAsia="Calibri" w:asciiTheme="majorHAnsi" w:hAnsiTheme="majorHAnsi" w:cstheme="majorHAnsi"/>
          <w:lang w:val="es-CL"/>
        </w:rPr>
        <w:t>Este registro deberá contener, al menos, la base consolidada final del período, el detalle de las desviaciones identificadas, las explicaciones formales entregadas por el AdC, la clasificación de dichas desviaciones y las acciones de gestión definidas. Asimismo, deberá permitir la trazabilidad entre las desviaciones detectadas en los controles semanales y su validación o reclasificación en el cierre mensual.</w:t>
      </w:r>
    </w:p>
    <w:p w:rsidRPr="00F61CF6" w:rsidR="00F61CF6" w:rsidP="00F61CF6" w:rsidRDefault="00F61CF6" w14:paraId="4D7D17AF" w14:textId="77777777">
      <w:pPr>
        <w:spacing w:line="240" w:lineRule="auto"/>
        <w:jc w:val="both"/>
        <w:rPr>
          <w:rFonts w:eastAsia="Calibri" w:asciiTheme="majorHAnsi" w:hAnsiTheme="majorHAnsi" w:cstheme="majorHAnsi"/>
          <w:lang w:val="es-CL"/>
        </w:rPr>
      </w:pPr>
    </w:p>
    <w:p w:rsidR="000A6052" w:rsidRDefault="00F61CF6" w14:paraId="7817236D" w14:textId="670E0C87">
      <w:pPr>
        <w:spacing w:line="240" w:lineRule="auto"/>
        <w:jc w:val="both"/>
        <w:rPr>
          <w:rFonts w:eastAsia="Calibri" w:asciiTheme="majorHAnsi" w:hAnsiTheme="majorHAnsi" w:cstheme="majorHAnsi"/>
          <w:lang w:val="es-CL"/>
        </w:rPr>
      </w:pPr>
      <w:r>
        <w:rPr>
          <w:rFonts w:eastAsia="Calibri" w:asciiTheme="majorHAnsi" w:hAnsiTheme="majorHAnsi" w:cstheme="majorHAnsi"/>
          <w:lang w:val="es-CL"/>
        </w:rPr>
        <w:t>Este registro asegura la consistencia entre la ejecución real del servicio, el contrato vigente y el presupuesto aprobado, y constituye un respaldo fundamental para efectos de auditoría, revisiones de gestión y análisis históricos del desempeño dotacional.</w:t>
      </w:r>
    </w:p>
    <w:p w:rsidR="002B54FF" w:rsidRDefault="002B54FF" w14:paraId="4FDD3E50" w14:textId="77777777">
      <w:pPr>
        <w:spacing w:line="240" w:lineRule="auto"/>
        <w:jc w:val="both"/>
        <w:rPr>
          <w:rFonts w:eastAsia="Calibri" w:asciiTheme="majorHAnsi" w:hAnsiTheme="majorHAnsi" w:cstheme="majorHAnsi"/>
          <w:lang w:val="es-CL"/>
        </w:rPr>
      </w:pPr>
    </w:p>
    <w:p w:rsidR="002B54FF" w:rsidRDefault="002B54FF" w14:paraId="7132930D" w14:textId="77777777">
      <w:pPr>
        <w:spacing w:line="240" w:lineRule="auto"/>
        <w:jc w:val="both"/>
        <w:rPr>
          <w:rFonts w:eastAsia="Calibri" w:asciiTheme="majorHAnsi" w:hAnsiTheme="majorHAnsi" w:cstheme="majorHAnsi"/>
          <w:lang w:val="es-CL"/>
        </w:rPr>
      </w:pPr>
    </w:p>
    <w:p w:rsidR="002B54FF" w:rsidRDefault="002B54FF" w14:paraId="0B313193" w14:textId="77777777">
      <w:pPr>
        <w:spacing w:line="240" w:lineRule="auto"/>
        <w:jc w:val="both"/>
        <w:rPr>
          <w:rFonts w:eastAsia="Calibri" w:asciiTheme="majorHAnsi" w:hAnsiTheme="majorHAnsi" w:cstheme="majorHAnsi"/>
          <w:lang w:val="es-CL"/>
        </w:rPr>
      </w:pPr>
    </w:p>
    <w:p w:rsidR="002B54FF" w:rsidRDefault="002B54FF" w14:paraId="46CD4493" w14:textId="77777777">
      <w:pPr>
        <w:spacing w:line="240" w:lineRule="auto"/>
        <w:jc w:val="both"/>
        <w:rPr>
          <w:rFonts w:eastAsia="Calibri" w:asciiTheme="majorHAnsi" w:hAnsiTheme="majorHAnsi" w:cstheme="majorHAnsi"/>
          <w:lang w:val="es-CL"/>
        </w:rPr>
      </w:pPr>
    </w:p>
    <w:p w:rsidR="002B54FF" w:rsidRDefault="002B54FF" w14:paraId="04ED6186" w14:textId="77777777">
      <w:pPr>
        <w:spacing w:line="240" w:lineRule="auto"/>
        <w:jc w:val="both"/>
        <w:rPr>
          <w:rFonts w:eastAsia="Calibri" w:asciiTheme="majorHAnsi" w:hAnsiTheme="majorHAnsi" w:cstheme="majorHAnsi"/>
          <w:lang w:val="es-CL"/>
        </w:rPr>
      </w:pPr>
    </w:p>
    <w:p w:rsidR="002B54FF" w:rsidRDefault="002B54FF" w14:paraId="51A9A134" w14:textId="77777777">
      <w:pPr>
        <w:spacing w:line="240" w:lineRule="auto"/>
        <w:jc w:val="both"/>
        <w:rPr>
          <w:rFonts w:eastAsia="Calibri" w:asciiTheme="majorHAnsi" w:hAnsiTheme="majorHAnsi" w:cstheme="majorHAnsi"/>
          <w:lang w:val="es-CL"/>
        </w:rPr>
      </w:pPr>
    </w:p>
    <w:p w:rsidRPr="00F91CEC" w:rsidR="00F61CF6" w:rsidRDefault="00F61CF6" w14:paraId="0CF5B1C1" w14:textId="77777777">
      <w:pPr>
        <w:spacing w:line="240" w:lineRule="auto"/>
        <w:jc w:val="both"/>
        <w:rPr>
          <w:rFonts w:eastAsia="Calibri" w:asciiTheme="majorHAnsi" w:hAnsiTheme="majorHAnsi" w:cstheme="majorHAnsi"/>
          <w:lang w:val="es-CL"/>
        </w:rPr>
      </w:pPr>
    </w:p>
    <w:p w:rsidRPr="00F61CF6" w:rsidR="00F61CF6" w:rsidP="00F61CF6" w:rsidRDefault="00E6057B" w14:paraId="46DE699D" w14:textId="2A362F00">
      <w:pPr>
        <w:pStyle w:val="Ttulo1"/>
        <w:spacing w:before="0"/>
        <w:jc w:val="both"/>
        <w:rPr>
          <w:rFonts w:asciiTheme="majorHAnsi" w:hAnsiTheme="majorHAnsi"/>
          <w:color w:val="31849B" w:themeColor="accent5" w:themeShade="BF"/>
          <w:sz w:val="22"/>
          <w:szCs w:val="32"/>
        </w:rPr>
      </w:pPr>
      <w:bookmarkStart w:name="_Toc225762020" w:id="28"/>
      <w:r>
        <w:rPr>
          <w:rFonts w:asciiTheme="majorHAnsi" w:hAnsiTheme="majorHAnsi"/>
          <w:color w:val="31849B" w:themeColor="accent5" w:themeShade="BF"/>
          <w:sz w:val="22"/>
          <w:szCs w:val="32"/>
        </w:rPr>
        <w:t>8. Relación con otros procesos</w:t>
      </w:r>
      <w:bookmarkEnd w:id="28"/>
    </w:p>
    <w:p w:rsidRPr="00CA3A38" w:rsidR="00CA3A38" w:rsidP="00F61CF6" w:rsidRDefault="00CA3A38" w14:paraId="34F7C7B9" w14:textId="77777777">
      <w:pPr>
        <w:spacing w:after="240"/>
        <w:jc w:val="both"/>
        <w:rPr>
          <w:rFonts w:eastAsia="Calibri" w:asciiTheme="majorHAnsi" w:hAnsiTheme="majorHAnsi" w:cstheme="majorHAnsi"/>
          <w:lang w:val="es-CL"/>
        </w:rPr>
      </w:pPr>
      <w:r>
        <w:rPr>
          <w:rFonts w:eastAsia="Calibri" w:asciiTheme="majorHAnsi" w:hAnsiTheme="majorHAnsi" w:cstheme="majorHAnsi"/>
          <w:lang w:val="es-CL"/>
        </w:rPr>
        <w:t>El cierre mensual de dotación FTE constituye un insumo relevante para distintos procesos de gestión de la compañía. Entre ellos se incluyen la elaboración del outlook dotacional, el análisis de tendencias de dotación, la identificación de desviaciones estructurales y la eventual activación de procesos de ajuste presupuestario o contractual, conforme a la gobernanza vigente.</w:t>
      </w:r>
    </w:p>
    <w:p w:rsidRPr="00432170" w:rsidR="000A6052" w:rsidRDefault="00CA3A38" w14:paraId="7F1B4153" w14:textId="44B4EF56">
      <w:pPr>
        <w:spacing w:before="240" w:after="240" w:line="240" w:lineRule="auto"/>
        <w:jc w:val="both"/>
        <w:rPr>
          <w:rFonts w:eastAsia="Calibri" w:asciiTheme="majorHAnsi" w:hAnsiTheme="majorHAnsi" w:cstheme="majorHAnsi"/>
          <w:lang w:val="es-CL"/>
        </w:rPr>
      </w:pPr>
      <w:r>
        <w:rPr>
          <w:rFonts w:eastAsia="Calibri" w:asciiTheme="majorHAnsi" w:hAnsiTheme="majorHAnsi" w:cstheme="majorHAnsi"/>
          <w:lang w:val="es-CL"/>
        </w:rPr>
        <w:t>Asimismo, el dato FTE mensual validado alimenta la reportabilidad oficial de la compañía y respalda la gestión financiera del período.</w:t>
      </w:r>
    </w:p>
    <w:p w:rsidRPr="00DF694C" w:rsidR="000A6052" w:rsidRDefault="00E6057B" w14:paraId="53A61320" w14:textId="77777777">
      <w:pPr>
        <w:pStyle w:val="Ttulo1"/>
        <w:spacing w:line="240" w:lineRule="auto"/>
        <w:jc w:val="both"/>
        <w:rPr>
          <w:rFonts w:asciiTheme="majorHAnsi" w:hAnsiTheme="majorHAnsi"/>
          <w:color w:val="31849B" w:themeColor="accent5" w:themeShade="BF"/>
          <w:sz w:val="22"/>
          <w:szCs w:val="32"/>
        </w:rPr>
      </w:pPr>
      <w:bookmarkStart w:name="_Toc225762021" w:id="29"/>
      <w:r>
        <w:rPr>
          <w:rFonts w:asciiTheme="majorHAnsi" w:hAnsiTheme="majorHAnsi"/>
          <w:color w:val="31849B" w:themeColor="accent5" w:themeShade="BF"/>
          <w:sz w:val="22"/>
          <w:szCs w:val="32"/>
        </w:rPr>
        <w:t>9. Regla de no retroactividad</w:t>
      </w:r>
      <w:bookmarkEnd w:id="29"/>
    </w:p>
    <w:p w:rsidRPr="00432170" w:rsidR="00432170" w:rsidP="00432170" w:rsidRDefault="00432170" w14:paraId="696D16EA" w14:textId="77777777">
      <w:pPr>
        <w:spacing w:line="240" w:lineRule="auto"/>
        <w:jc w:val="both"/>
        <w:rPr>
          <w:rFonts w:eastAsia="Calibri" w:asciiTheme="majorHAnsi" w:hAnsiTheme="majorHAnsi" w:cstheme="majorHAnsi"/>
        </w:rPr>
      </w:pPr>
      <w:r>
        <w:rPr>
          <w:rFonts w:eastAsia="Calibri" w:asciiTheme="majorHAnsi" w:hAnsiTheme="majorHAnsi" w:cstheme="majorHAnsi"/>
        </w:rPr>
        <w:t>Las desviaciones detectadas durante la ejecución mensual no habilitan ajustes retroactivos a la dotación FTE presupuestada ni a los registros ya cerrados.</w:t>
      </w:r>
    </w:p>
    <w:p w:rsidRPr="00432170" w:rsidR="00432170" w:rsidP="00432170" w:rsidRDefault="00432170" w14:paraId="1914FC68" w14:textId="77777777">
      <w:pPr>
        <w:spacing w:line="240" w:lineRule="auto"/>
        <w:jc w:val="both"/>
        <w:rPr>
          <w:rFonts w:eastAsia="Calibri" w:asciiTheme="majorHAnsi" w:hAnsiTheme="majorHAnsi" w:cstheme="majorHAnsi"/>
        </w:rPr>
      </w:pPr>
    </w:p>
    <w:p w:rsidRPr="00432170" w:rsidR="00432170" w:rsidP="0EEC0A37" w:rsidRDefault="00432170" w14:paraId="5523DCC0" w14:textId="77777777">
      <w:pPr>
        <w:spacing w:line="240" w:lineRule="auto"/>
        <w:jc w:val="both"/>
        <w:rPr>
          <w:rFonts w:eastAsia="Calibri" w:asciiTheme="majorHAnsi" w:hAnsiTheme="majorHAnsi" w:cstheme="majorBidi"/>
          <w:lang w:val="es-ES"/>
        </w:rPr>
      </w:pPr>
      <w:r>
        <w:rPr>
          <w:rFonts w:eastAsia="Calibri" w:asciiTheme="majorHAnsi" w:hAnsiTheme="majorHAnsi" w:cstheme="majorBidi"/>
          <w:lang w:val="es-ES"/>
        </w:rPr>
        <w:t>Una vez formalizado el cierre mensual, el dato FTE del período no podrá ser modificado, ajustado ni reinterpretado bajo ninguna circunstancia.</w:t>
      </w:r>
    </w:p>
    <w:p w:rsidRPr="00432170" w:rsidR="00432170" w:rsidP="00432170" w:rsidRDefault="00432170" w14:paraId="5BD889B7" w14:textId="77777777">
      <w:pPr>
        <w:spacing w:line="240" w:lineRule="auto"/>
        <w:jc w:val="both"/>
        <w:rPr>
          <w:rFonts w:eastAsia="Calibri" w:asciiTheme="majorHAnsi" w:hAnsiTheme="majorHAnsi" w:cstheme="majorHAnsi"/>
        </w:rPr>
      </w:pPr>
    </w:p>
    <w:p w:rsidRPr="0088586B" w:rsidR="000A6052" w:rsidP="00432170" w:rsidRDefault="00432170" w14:paraId="042411E8" w14:textId="1D2814C3">
      <w:pPr>
        <w:spacing w:line="240" w:lineRule="auto"/>
        <w:jc w:val="both"/>
        <w:rPr>
          <w:rFonts w:eastAsia="Calibri" w:asciiTheme="majorHAnsi" w:hAnsiTheme="majorHAnsi" w:cstheme="majorHAnsi"/>
        </w:rPr>
      </w:pPr>
      <w:r>
        <w:rPr>
          <w:rFonts w:eastAsia="Calibri" w:asciiTheme="majorHAnsi" w:hAnsiTheme="majorHAnsi" w:cstheme="majorHAnsi"/>
        </w:rPr>
        <w:t>Cualquier regularización deberá gestionarse hacia adelante y conforme a los mecanismos formales definidos en el procedimiento corporativo, sin afectar la integridad del dato histórico.</w:t>
      </w:r>
    </w:p>
    <w:p w:rsidRPr="00DF694C" w:rsidR="000A6052" w:rsidRDefault="00E6057B" w14:paraId="76CFB5FD" w14:textId="77777777">
      <w:pPr>
        <w:pStyle w:val="Ttulo1"/>
        <w:spacing w:line="240" w:lineRule="auto"/>
        <w:jc w:val="both"/>
        <w:rPr>
          <w:rFonts w:asciiTheme="majorHAnsi" w:hAnsiTheme="majorHAnsi"/>
          <w:color w:val="31849B" w:themeColor="accent5" w:themeShade="BF"/>
          <w:sz w:val="22"/>
          <w:szCs w:val="32"/>
        </w:rPr>
      </w:pPr>
      <w:bookmarkStart w:name="_Toc225762022" w:id="30"/>
      <w:r>
        <w:rPr>
          <w:rFonts w:asciiTheme="majorHAnsi" w:hAnsiTheme="majorHAnsi"/>
          <w:color w:val="31849B" w:themeColor="accent5" w:themeShade="BF"/>
          <w:sz w:val="22"/>
          <w:szCs w:val="32"/>
        </w:rPr>
        <w:t>10. Regla clave</w:t>
      </w:r>
      <w:bookmarkEnd w:id="30"/>
    </w:p>
    <w:p w:rsidRPr="0088586B" w:rsidR="000A6052" w:rsidP="51AA01F1" w:rsidRDefault="00E6057B" w14:paraId="19859A68" w14:textId="77777777">
      <w:pPr>
        <w:spacing w:before="240" w:after="240" w:line="240" w:lineRule="auto"/>
        <w:jc w:val="both"/>
        <w:rPr>
          <w:rFonts w:eastAsia="Calibri" w:asciiTheme="majorHAnsi" w:hAnsiTheme="majorHAnsi" w:cstheme="majorHAnsi"/>
          <w:lang w:val="es-ES"/>
        </w:rPr>
      </w:pPr>
      <w:r>
        <w:rPr>
          <w:rFonts w:eastAsia="Calibri" w:asciiTheme="majorHAnsi" w:hAnsiTheme="majorHAnsi" w:cstheme="majorHAnsi"/>
          <w:lang w:val="es-ES"/>
        </w:rPr>
        <w:t>El cierre mensual de dotación FTE define el dato oficial, único y válido del período para todos los efectos de control presupuestario, gestión contractual, reportabilidad corporativa y análisis de desempeño.</w:t>
      </w:r>
    </w:p>
    <w:p w:rsidRPr="0088586B" w:rsidR="000A6052" w:rsidRDefault="00E6057B" w14:paraId="3581460C" w14:textId="77777777">
      <w:pPr>
        <w:spacing w:before="240" w:after="240" w:line="240" w:lineRule="auto"/>
        <w:jc w:val="both"/>
        <w:rPr>
          <w:rFonts w:eastAsia="Calibri" w:asciiTheme="majorHAnsi" w:hAnsiTheme="majorHAnsi" w:cstheme="majorHAnsi"/>
        </w:rPr>
      </w:pPr>
      <w:r>
        <w:rPr>
          <w:rFonts w:eastAsia="Calibri" w:asciiTheme="majorHAnsi" w:hAnsiTheme="majorHAnsi" w:cstheme="majorHAnsi"/>
        </w:rPr>
        <w:t>Fuera de la instancia formal de cierre mensual no existe validación de dotación FTE. Ningún registro preliminar, control intermedio, estimación operativa o ajuste posterior podrá modificar, reinterpretar o sustituir el dato FTE validado, el cual prevalece como referencia única para la Compañía.</w:t>
      </w:r>
    </w:p>
    <w:p w:rsidRPr="0088586B" w:rsidR="000A6052" w:rsidRDefault="00E6057B" w14:paraId="3B691207" w14:textId="77777777">
      <w:pPr>
        <w:spacing w:before="240" w:after="240" w:line="240" w:lineRule="auto"/>
        <w:jc w:val="both"/>
        <w:rPr>
          <w:rFonts w:eastAsia="Calibri" w:asciiTheme="majorHAnsi" w:hAnsiTheme="majorHAnsi" w:cstheme="majorHAnsi"/>
        </w:rPr>
      </w:pPr>
      <w:r>
        <w:rPr>
          <w:rFonts w:eastAsia="Calibri" w:asciiTheme="majorHAnsi" w:hAnsiTheme="majorHAnsi" w:cstheme="majorHAnsi"/>
        </w:rPr>
        <w:t>Cualquier desviación detectada con posterioridad al cierre deberá ser gestionada hacia adelante, conforme a los procesos formales definidos, sin afectar la integridad del dato histórico ni la disciplina de cierre establecida.</w:t>
      </w:r>
    </w:p>
    <w:p w:rsidRPr="0088586B" w:rsidR="000A6052" w:rsidRDefault="000A6052" w14:paraId="48E55DF3" w14:textId="77777777">
      <w:pPr>
        <w:spacing w:line="240" w:lineRule="auto"/>
        <w:jc w:val="both"/>
        <w:rPr>
          <w:rFonts w:eastAsia="Calibri" w:asciiTheme="majorHAnsi" w:hAnsiTheme="majorHAnsi" w:cstheme="majorHAnsi"/>
          <w:sz w:val="24"/>
          <w:szCs w:val="24"/>
        </w:rPr>
      </w:pPr>
    </w:p>
    <w:p w:rsidRPr="0088586B" w:rsidR="000A6052" w:rsidRDefault="000A6052" w14:paraId="22521117" w14:textId="77777777">
      <w:pPr>
        <w:spacing w:line="240" w:lineRule="auto"/>
        <w:jc w:val="both"/>
        <w:rPr>
          <w:rFonts w:asciiTheme="majorHAnsi" w:hAnsiTheme="majorHAnsi" w:cstheme="majorHAnsi"/>
        </w:rPr>
      </w:pPr>
    </w:p>
    <w:p w:rsidRPr="0088586B" w:rsidR="000A6052" w:rsidRDefault="000A6052" w14:paraId="416662B7" w14:textId="77777777">
      <w:pPr>
        <w:spacing w:line="240" w:lineRule="auto"/>
        <w:jc w:val="both"/>
        <w:rPr>
          <w:rFonts w:asciiTheme="majorHAnsi" w:hAnsiTheme="majorHAnsi" w:cstheme="majorHAnsi"/>
        </w:rPr>
      </w:pPr>
    </w:p>
    <w:p w:rsidRPr="0088586B" w:rsidR="000A6052" w:rsidRDefault="000A6052" w14:paraId="0FE5EBA3" w14:textId="77777777">
      <w:pPr>
        <w:spacing w:line="240" w:lineRule="auto"/>
        <w:rPr>
          <w:rFonts w:eastAsia="Calibri" w:asciiTheme="majorHAnsi" w:hAnsiTheme="majorHAnsi" w:cstheme="majorHAnsi"/>
          <w:sz w:val="24"/>
          <w:szCs w:val="24"/>
        </w:rPr>
      </w:pPr>
    </w:p>
    <w:p w:rsidRPr="0088586B" w:rsidR="000A6052" w:rsidRDefault="000A6052" w14:paraId="028D87F0" w14:textId="77777777">
      <w:pPr>
        <w:spacing w:line="240" w:lineRule="auto"/>
        <w:rPr>
          <w:rFonts w:eastAsia="Calibri" w:asciiTheme="majorHAnsi" w:hAnsiTheme="majorHAnsi" w:cstheme="majorHAnsi"/>
          <w:sz w:val="24"/>
          <w:szCs w:val="24"/>
        </w:rPr>
      </w:pPr>
    </w:p>
    <w:p w:rsidR="00DE0E3E" w:rsidRDefault="00DE0E3E" w14:paraId="7DB8D821" w14:textId="77777777">
      <w:pPr>
        <w:spacing w:before="240" w:after="240" w:line="240" w:lineRule="auto"/>
        <w:jc w:val="both"/>
        <w:rPr>
          <w:rFonts w:ascii="Calibri" w:hAnsi="Calibri" w:eastAsia="Calibri" w:cs="Calibri"/>
        </w:rPr>
      </w:pPr>
    </w:p>
    <w:p w:rsidR="00DE0E3E" w:rsidRDefault="00DE0E3E" w14:paraId="71AE39A5" w14:textId="4EA3C96F">
      <w:pPr>
        <w:spacing w:before="240" w:after="240" w:line="240" w:lineRule="auto"/>
        <w:jc w:val="both"/>
        <w:rPr>
          <w:rFonts w:ascii="Calibri" w:hAnsi="Calibri" w:eastAsia="Calibri" w:cs="Calibri"/>
          <w:sz w:val="24"/>
          <w:szCs w:val="24"/>
        </w:rPr>
      </w:pPr>
      <w:r>
        <w:rPr>
          <w:rFonts w:ascii="Calibri" w:hAnsi="Calibri" w:eastAsia="Calibri" w:cs="Calibri"/>
          <w:noProof/>
          <w:sz w:val="24"/>
          <w:szCs w:val="24"/>
        </w:rPr>
        <w:drawing>
          <wp:inline distT="0" distB="0" distL="0" distR="0" wp14:anchorId="7C739517" wp14:editId="1860FFC5">
            <wp:extent cx="1930499" cy="2540131"/>
            <wp:effectExtent l="0" t="0" r="0" b="0"/>
            <wp:docPr id="30607319" name="Imagen 1" descr="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7319" name="Imagen 1" descr="Tabla  El contenido generado por IA puede ser incorrecto."/>
                    <pic:cNvPicPr/>
                  </pic:nvPicPr>
                  <pic:blipFill>
                    <a:blip r:embed="rId16"/>
                    <a:stretch>
                      <a:fillRect/>
                    </a:stretch>
                  </pic:blipFill>
                  <pic:spPr>
                    <a:xfrm>
                      <a:off x="0" y="0"/>
                      <a:ext cx="1930499" cy="2540131"/>
                    </a:xfrm>
                    <a:prstGeom prst="rect">
                      <a:avLst/>
                    </a:prstGeom>
                  </pic:spPr>
                </pic:pic>
              </a:graphicData>
            </a:graphic>
          </wp:inline>
        </w:drawing>
      </w:r>
    </w:p>
    <w:sectPr w:rsidR="00DE0E3E">
      <w:headerReference w:type="default" r:id="rId17"/>
      <w:pgSz w:w="11909" w:h="16834" w:orient="portrait"/>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Isidora Escobar Garrido" w:date="2026-03-05T15:28:00Z" w:id="3">
    <w:p w:rsidR="000A6052" w:rsidRDefault="006126C2" w14:paraId="3E67E2FE" w14:textId="77777777">
      <w:pPr>
        <w:widowControl w:val="0"/>
        <w:pBdr>
          <w:top w:val="nil"/>
          <w:left w:val="nil"/>
          <w:bottom w:val="nil"/>
          <w:right w:val="nil"/>
          <w:between w:val="nil"/>
        </w:pBdr>
        <w:spacing w:line="240" w:lineRule="auto"/>
        <w:rPr>
          <w:color w:val="000000"/>
        </w:rPr>
      </w:pPr>
      <w:r>
        <w:annotationRef/>
      </w:r>
      <w:r w:rsidR="00E6057B">
        <w:rPr>
          <w:color w:val="000000"/>
        </w:rPr>
        <w:t>1:47:07</w:t>
      </w:r>
    </w:p>
    <w:p w:rsidR="000A6052" w:rsidRDefault="00E6057B" w14:paraId="327BF221" w14:textId="77777777">
      <w:pPr>
        <w:widowControl w:val="0"/>
        <w:pBdr>
          <w:top w:val="nil"/>
          <w:left w:val="nil"/>
          <w:bottom w:val="nil"/>
          <w:right w:val="nil"/>
          <w:between w:val="nil"/>
        </w:pBdr>
        <w:spacing w:line="240" w:lineRule="auto"/>
        <w:rPr>
          <w:color w:val="000000"/>
        </w:rPr>
      </w:pPr>
      <w:r>
        <w:rPr>
          <w:color w:val="000000"/>
        </w:rPr>
        <w:t>https://teams.microsoft.com/l/meetingrecap?driveId=b%21G7a0rYpgFEq52wBuFLEphCBTp1Vy9eBEsgAy5mBsYxPousWZIkTBS6whM2XXYENt&amp;driveItemId=01ZAWKLOQL5CHTYYUURFBLEWTGZKCECT5P&amp;sitePath=https%3A%2F%2Faminerals-my.sharepoint.com%2F%3Av%3A%2Fg%2Fpersonal%2Fiescobar_eeccmlp_cl%2FIQAL6I88YpSJQrJaZsqEQU-vAQ3mM1gi1RZo77ELmREeiEU&amp;fileUrl=https%3A%2F%2Faminerals-my.sharepoint.com%2Fpersonal%2Fiescobar_eeccmlp_cl%2FDocuments%2FGrabaciones%2FRevisi%C3%B3n+instructivos-20260216_153252-Grabaci%C3%B3n+de+la+reuni%C3%B3n.mp4%3Fweb%3D1&amp;iCalUid=040000008200E00074C5B7101A82E0080000000088BCEE13349FDC010000000000000000100000007B9E49ACC2D6F048B48E32DD8FF80BAF&amp;threadId=19%3Ameeting_MDc2OWIxYjMtODZiMi00NDM0LTkwYWYtMjg4NDVjYjMwODdh%40thread.v2&amp;organizerId=71b43869-7193-4f52-a4ee-93b6b055632f&amp;tenantId=d96f3d5a-3042-402a-994b-05725b2e1427&amp;callId=c9d7acac-194f-468a-be0c-a5205533b403&amp;threadType=Meeting&amp;meetingType=Scheduled&amp;subType=RecapSharingLink_RecapCore</w:t>
      </w:r>
    </w:p>
  </w:comment>
  <w:comment w:initials="" w:author="Millaray Cortés Pizarro" w:date="2026-02-16T20:23:00Z" w:id="7">
    <w:p w:rsidR="000A6052" w:rsidRDefault="006126C2" w14:paraId="5804BD3E" w14:textId="77777777">
      <w:pPr>
        <w:widowControl w:val="0"/>
        <w:pBdr>
          <w:top w:val="nil"/>
          <w:left w:val="nil"/>
          <w:bottom w:val="nil"/>
          <w:right w:val="nil"/>
          <w:between w:val="nil"/>
        </w:pBdr>
        <w:spacing w:line="240" w:lineRule="auto"/>
        <w:rPr>
          <w:color w:val="000000"/>
        </w:rPr>
      </w:pPr>
      <w:r>
        <w:rPr>
          <w:rStyle w:val="Refdecomentario"/>
        </w:rPr>
        <w:annotationRef/>
      </w:r>
      <w:r w:rsidR="00E6057B">
        <w:rPr>
          <w:color w:val="000000"/>
        </w:rPr>
        <w:t>Info de relaciones laborales: Se está diciendo que las dotaciones son permanentes y temporales de CAPEX Y OPEX. Del ejercicio semanal se tiene el opex y el capex. De los otros y teletrabajo no se obtiene del siga, sino que del INFORME DE FUERZA LABORAL que lo emite relaciones laborales</w:t>
      </w:r>
    </w:p>
  </w:comment>
  <w:comment w:initials="" w:author="Millaray Cortés Pizarro" w:date="2026-02-16T20:24:00Z" w:id="6">
    <w:p w:rsidR="000A6052" w:rsidRDefault="006126C2" w14:paraId="48DCEAE2" w14:textId="77777777">
      <w:pPr>
        <w:widowControl w:val="0"/>
        <w:pBdr>
          <w:top w:val="nil"/>
          <w:left w:val="nil"/>
          <w:bottom w:val="nil"/>
          <w:right w:val="nil"/>
          <w:between w:val="nil"/>
        </w:pBdr>
        <w:spacing w:line="240" w:lineRule="auto"/>
        <w:rPr>
          <w:color w:val="000000"/>
        </w:rPr>
      </w:pPr>
      <w:r>
        <w:rPr>
          <w:rStyle w:val="Refdecomentario"/>
        </w:rPr>
        <w:annotationRef/>
      </w:r>
      <w:r w:rsidR="00E6057B">
        <w:rPr>
          <w:color w:val="000000"/>
        </w:rPr>
        <w:t>de info de relaciones laborales -&gt; info de otros y teletrabjo</w:t>
      </w:r>
    </w:p>
  </w:comment>
  <w:comment w:initials="" w:author="Millaray Cortés Pizarro" w:date="2026-02-16T20:25:00Z" w:id="5">
    <w:p w:rsidR="000A6052" w:rsidRDefault="006126C2" w14:paraId="5E2BC780" w14:textId="77777777">
      <w:pPr>
        <w:widowControl w:val="0"/>
        <w:pBdr>
          <w:top w:val="nil"/>
          <w:left w:val="nil"/>
          <w:bottom w:val="nil"/>
          <w:right w:val="nil"/>
          <w:between w:val="nil"/>
        </w:pBdr>
        <w:spacing w:line="240" w:lineRule="auto"/>
        <w:rPr>
          <w:color w:val="000000"/>
        </w:rPr>
      </w:pPr>
      <w:r>
        <w:rPr>
          <w:rStyle w:val="Refdecomentario"/>
        </w:rPr>
        <w:annotationRef/>
      </w:r>
      <w:r w:rsidR="00E6057B">
        <w:rPr>
          <w:color w:val="000000"/>
        </w:rPr>
        <w:t>qué tan bueno respecto lo que levanta alessandro</w:t>
      </w:r>
    </w:p>
  </w:comment>
  <w:comment w:initials="IE" w:author="Isidora Escobar" w:date="2026-03-18T10:39:00Z" w:id="16">
    <w:p w:rsidR="00230A8F" w:rsidP="00230A8F" w:rsidRDefault="00230A8F" w14:paraId="4BF5E695" w14:textId="77777777">
      <w:pPr>
        <w:pStyle w:val="Textocomentario"/>
      </w:pPr>
      <w:r>
        <w:rPr>
          <w:rStyle w:val="Refdecomentario"/>
        </w:rPr>
        <w:annotationRef/>
      </w:r>
      <w:r>
        <w:rPr>
          <w:lang w:val="es-CL"/>
        </w:rPr>
        <w:t>Y e200?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7BF221" w15:done="0"/>
  <w15:commentEx w15:paraId="5804BD3E" w15:done="0"/>
  <w15:commentEx w15:paraId="48DCEAE2" w15:done="0"/>
  <w15:commentEx w15:paraId="5E2BC780" w15:done="0"/>
  <w15:commentEx w15:paraId="4BF5E6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9D56E7" w16cex:dateUtc="2026-03-18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7BF221" w16cid:durableId="1D15F7E5"/>
  <w16cid:commentId w16cid:paraId="5804BD3E" w16cid:durableId="6A6B48EA"/>
  <w16cid:commentId w16cid:paraId="48DCEAE2" w16cid:durableId="6889C542"/>
  <w16cid:commentId w16cid:paraId="5E2BC780" w16cid:durableId="27A03E45"/>
  <w16cid:commentId w16cid:paraId="4BF5E695" w16cid:durableId="329D56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4A2F" w:rsidRDefault="00874A2F" w14:paraId="7EE9F36A" w14:textId="77777777">
      <w:pPr>
        <w:spacing w:line="240" w:lineRule="auto"/>
      </w:pPr>
      <w:r>
        <w:separator/>
      </w:r>
    </w:p>
  </w:endnote>
  <w:endnote w:type="continuationSeparator" w:id="0">
    <w:p w:rsidR="00874A2F" w:rsidRDefault="00874A2F" w14:paraId="65F3435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5FE48B1E-5CBD-4371-B59D-1746171265FB}" r:id="rId1"/>
    <w:embedBold w:fontKey="{70AA179A-D0FA-4B39-809F-D9E9F4200695}" r:id="rId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B17592F-5245-4694-B634-B4B875AA9F17}" r:id="rId3"/>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4A2F" w:rsidRDefault="00874A2F" w14:paraId="21B20576" w14:textId="77777777">
      <w:pPr>
        <w:spacing w:line="240" w:lineRule="auto"/>
      </w:pPr>
      <w:r>
        <w:separator/>
      </w:r>
    </w:p>
  </w:footnote>
  <w:footnote w:type="continuationSeparator" w:id="0">
    <w:p w:rsidR="00874A2F" w:rsidRDefault="00874A2F" w14:paraId="158B241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A6052" w:rsidRDefault="00E6057B" w14:paraId="44610852" w14:textId="77777777">
    <w:pPr>
      <w:spacing w:after="120" w:line="264" w:lineRule="auto"/>
      <w:jc w:val="both"/>
    </w:pPr>
    <w:r>
      <w:rPr>
        <w:rFonts w:ascii="Calibri" w:hAnsi="Calibri" w:eastAsia="Calibri" w:cs="Calibri"/>
        <w:noProof/>
      </w:rPr>
      <w:drawing>
        <wp:inline distT="0" distB="0" distL="0" distR="0" wp14:anchorId="3B040ACE" wp14:editId="251F6637">
          <wp:extent cx="897983" cy="302653"/>
          <wp:effectExtent l="0" t="0" r="0" b="0"/>
          <wp:docPr id="3" name="image2.png" descr="Logotip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  El contenido generado por IA puede ser incorrecto."/>
                  <pic:cNvPicPr preferRelativeResize="0"/>
                </pic:nvPicPr>
                <pic:blipFill>
                  <a:blip r:embed="rId1"/>
                  <a:srcRect/>
                  <a:stretch>
                    <a:fillRect/>
                  </a:stretch>
                </pic:blipFill>
                <pic:spPr>
                  <a:xfrm>
                    <a:off x="0" y="0"/>
                    <a:ext cx="897983" cy="3026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45A"/>
    <w:multiLevelType w:val="multilevel"/>
    <w:tmpl w:val="0C6850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8A08EE"/>
    <w:multiLevelType w:val="multilevel"/>
    <w:tmpl w:val="609A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2D6CBD"/>
    <w:multiLevelType w:val="multilevel"/>
    <w:tmpl w:val="DFE05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7065AF"/>
    <w:multiLevelType w:val="multilevel"/>
    <w:tmpl w:val="71F2B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515139"/>
    <w:multiLevelType w:val="multilevel"/>
    <w:tmpl w:val="5DD4F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B83715"/>
    <w:multiLevelType w:val="multilevel"/>
    <w:tmpl w:val="A1109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FA80320"/>
    <w:multiLevelType w:val="multilevel"/>
    <w:tmpl w:val="3A32D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6B6259"/>
    <w:multiLevelType w:val="multilevel"/>
    <w:tmpl w:val="80607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6983355"/>
    <w:multiLevelType w:val="multilevel"/>
    <w:tmpl w:val="1284B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42368C"/>
    <w:multiLevelType w:val="multilevel"/>
    <w:tmpl w:val="8D020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4C6C26"/>
    <w:multiLevelType w:val="multilevel"/>
    <w:tmpl w:val="838AA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E12AA3"/>
    <w:multiLevelType w:val="multilevel"/>
    <w:tmpl w:val="CA3AB8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2B71B36"/>
    <w:multiLevelType w:val="multilevel"/>
    <w:tmpl w:val="5C1AC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295D95"/>
    <w:multiLevelType w:val="multilevel"/>
    <w:tmpl w:val="DE529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3B3CD1"/>
    <w:multiLevelType w:val="multilevel"/>
    <w:tmpl w:val="B560B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7EB285E"/>
    <w:multiLevelType w:val="multilevel"/>
    <w:tmpl w:val="A5AC2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BD3710A"/>
    <w:multiLevelType w:val="multilevel"/>
    <w:tmpl w:val="9B129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E095A06"/>
    <w:multiLevelType w:val="multilevel"/>
    <w:tmpl w:val="AA70F4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F5F01C3"/>
    <w:multiLevelType w:val="multilevel"/>
    <w:tmpl w:val="AEF6A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BA2F1D"/>
    <w:multiLevelType w:val="multilevel"/>
    <w:tmpl w:val="3CBC7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BAD1AD5"/>
    <w:multiLevelType w:val="multilevel"/>
    <w:tmpl w:val="14E62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F692A95"/>
    <w:multiLevelType w:val="multilevel"/>
    <w:tmpl w:val="BBE4A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9D07A8"/>
    <w:multiLevelType w:val="multilevel"/>
    <w:tmpl w:val="AE42B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6125151">
    <w:abstractNumId w:val="22"/>
  </w:num>
  <w:num w:numId="2" w16cid:durableId="1692683404">
    <w:abstractNumId w:val="12"/>
  </w:num>
  <w:num w:numId="3" w16cid:durableId="1501576790">
    <w:abstractNumId w:val="1"/>
  </w:num>
  <w:num w:numId="4" w16cid:durableId="550457659">
    <w:abstractNumId w:val="8"/>
  </w:num>
  <w:num w:numId="5" w16cid:durableId="2083288655">
    <w:abstractNumId w:val="13"/>
  </w:num>
  <w:num w:numId="6" w16cid:durableId="45182511">
    <w:abstractNumId w:val="21"/>
  </w:num>
  <w:num w:numId="7" w16cid:durableId="44305971">
    <w:abstractNumId w:val="18"/>
  </w:num>
  <w:num w:numId="8" w16cid:durableId="1956519677">
    <w:abstractNumId w:val="6"/>
  </w:num>
  <w:num w:numId="9" w16cid:durableId="102263097">
    <w:abstractNumId w:val="9"/>
  </w:num>
  <w:num w:numId="10" w16cid:durableId="459031707">
    <w:abstractNumId w:val="3"/>
  </w:num>
  <w:num w:numId="11" w16cid:durableId="2078242123">
    <w:abstractNumId w:val="17"/>
  </w:num>
  <w:num w:numId="12" w16cid:durableId="416875156">
    <w:abstractNumId w:val="11"/>
  </w:num>
  <w:num w:numId="13" w16cid:durableId="520631758">
    <w:abstractNumId w:val="10"/>
  </w:num>
  <w:num w:numId="14" w16cid:durableId="1181777611">
    <w:abstractNumId w:val="20"/>
  </w:num>
  <w:num w:numId="15" w16cid:durableId="1452555943">
    <w:abstractNumId w:val="2"/>
  </w:num>
  <w:num w:numId="16" w16cid:durableId="527958039">
    <w:abstractNumId w:val="7"/>
  </w:num>
  <w:num w:numId="17" w16cid:durableId="1445467875">
    <w:abstractNumId w:val="0"/>
  </w:num>
  <w:num w:numId="18" w16cid:durableId="1343975403">
    <w:abstractNumId w:val="5"/>
  </w:num>
  <w:num w:numId="19" w16cid:durableId="1064331387">
    <w:abstractNumId w:val="16"/>
  </w:num>
  <w:num w:numId="20" w16cid:durableId="2012949261">
    <w:abstractNumId w:val="19"/>
  </w:num>
  <w:num w:numId="21" w16cid:durableId="2135056110">
    <w:abstractNumId w:val="14"/>
  </w:num>
  <w:num w:numId="22" w16cid:durableId="823162920">
    <w:abstractNumId w:val="4"/>
  </w:num>
  <w:num w:numId="23" w16cid:durableId="192263671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idora Escobar">
    <w15:presenceInfo w15:providerId="AD" w15:userId="S::iescobar@eeccmlp.cl::71b43869-7193-4f52-a4ee-93b6b055632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52"/>
    <w:rsid w:val="000153EE"/>
    <w:rsid w:val="00016492"/>
    <w:rsid w:val="00024C98"/>
    <w:rsid w:val="000554E5"/>
    <w:rsid w:val="00061EC3"/>
    <w:rsid w:val="0007412B"/>
    <w:rsid w:val="000A491E"/>
    <w:rsid w:val="000A6052"/>
    <w:rsid w:val="000B3BC7"/>
    <w:rsid w:val="000E587A"/>
    <w:rsid w:val="00115E50"/>
    <w:rsid w:val="00136F82"/>
    <w:rsid w:val="00141FF2"/>
    <w:rsid w:val="0014679C"/>
    <w:rsid w:val="001513B5"/>
    <w:rsid w:val="00166E2D"/>
    <w:rsid w:val="00184F77"/>
    <w:rsid w:val="001871AC"/>
    <w:rsid w:val="001A0854"/>
    <w:rsid w:val="001C58DD"/>
    <w:rsid w:val="001E22DD"/>
    <w:rsid w:val="001F11E9"/>
    <w:rsid w:val="0020003E"/>
    <w:rsid w:val="00205BDB"/>
    <w:rsid w:val="00230A8F"/>
    <w:rsid w:val="00240315"/>
    <w:rsid w:val="0025067F"/>
    <w:rsid w:val="0025674F"/>
    <w:rsid w:val="002858DB"/>
    <w:rsid w:val="0028680E"/>
    <w:rsid w:val="00287774"/>
    <w:rsid w:val="002B3329"/>
    <w:rsid w:val="002B54FF"/>
    <w:rsid w:val="002B78EE"/>
    <w:rsid w:val="002E17E7"/>
    <w:rsid w:val="002E6815"/>
    <w:rsid w:val="00384A17"/>
    <w:rsid w:val="003A09B5"/>
    <w:rsid w:val="003A1630"/>
    <w:rsid w:val="003B05D3"/>
    <w:rsid w:val="003B27A9"/>
    <w:rsid w:val="0042511E"/>
    <w:rsid w:val="00432170"/>
    <w:rsid w:val="00433D90"/>
    <w:rsid w:val="004B294F"/>
    <w:rsid w:val="004B42BD"/>
    <w:rsid w:val="004C0217"/>
    <w:rsid w:val="004C52A1"/>
    <w:rsid w:val="004E36E9"/>
    <w:rsid w:val="004F4085"/>
    <w:rsid w:val="00532B07"/>
    <w:rsid w:val="0053366C"/>
    <w:rsid w:val="005405DA"/>
    <w:rsid w:val="00544350"/>
    <w:rsid w:val="005615D7"/>
    <w:rsid w:val="00591E00"/>
    <w:rsid w:val="005936A4"/>
    <w:rsid w:val="005C32D2"/>
    <w:rsid w:val="005C65B6"/>
    <w:rsid w:val="005D1D9D"/>
    <w:rsid w:val="005F041E"/>
    <w:rsid w:val="006126C2"/>
    <w:rsid w:val="00652A73"/>
    <w:rsid w:val="00655F02"/>
    <w:rsid w:val="006900B0"/>
    <w:rsid w:val="00692552"/>
    <w:rsid w:val="006F4BA3"/>
    <w:rsid w:val="00720794"/>
    <w:rsid w:val="0072586A"/>
    <w:rsid w:val="007709CC"/>
    <w:rsid w:val="007829DA"/>
    <w:rsid w:val="00793F3E"/>
    <w:rsid w:val="007C548E"/>
    <w:rsid w:val="007E201E"/>
    <w:rsid w:val="008375B2"/>
    <w:rsid w:val="0084299E"/>
    <w:rsid w:val="00850562"/>
    <w:rsid w:val="0085286A"/>
    <w:rsid w:val="0085798E"/>
    <w:rsid w:val="0086029A"/>
    <w:rsid w:val="008607B0"/>
    <w:rsid w:val="0086522F"/>
    <w:rsid w:val="00870736"/>
    <w:rsid w:val="00874A2F"/>
    <w:rsid w:val="00880A91"/>
    <w:rsid w:val="0088586B"/>
    <w:rsid w:val="00897392"/>
    <w:rsid w:val="008A07B3"/>
    <w:rsid w:val="008C1811"/>
    <w:rsid w:val="008E3BD7"/>
    <w:rsid w:val="0091028B"/>
    <w:rsid w:val="00914219"/>
    <w:rsid w:val="009513A9"/>
    <w:rsid w:val="0095323F"/>
    <w:rsid w:val="0096384F"/>
    <w:rsid w:val="00972BC7"/>
    <w:rsid w:val="00990437"/>
    <w:rsid w:val="00A047E5"/>
    <w:rsid w:val="00A16D82"/>
    <w:rsid w:val="00A22AA5"/>
    <w:rsid w:val="00A2402F"/>
    <w:rsid w:val="00A33058"/>
    <w:rsid w:val="00A737A8"/>
    <w:rsid w:val="00A93F76"/>
    <w:rsid w:val="00B07D0A"/>
    <w:rsid w:val="00B17A8C"/>
    <w:rsid w:val="00B31FE2"/>
    <w:rsid w:val="00B677E5"/>
    <w:rsid w:val="00B70584"/>
    <w:rsid w:val="00B86EF6"/>
    <w:rsid w:val="00B925AE"/>
    <w:rsid w:val="00BC363A"/>
    <w:rsid w:val="00BF5BB2"/>
    <w:rsid w:val="00C32899"/>
    <w:rsid w:val="00C36FB3"/>
    <w:rsid w:val="00C51F76"/>
    <w:rsid w:val="00C620FA"/>
    <w:rsid w:val="00CA3A38"/>
    <w:rsid w:val="00CA6CDA"/>
    <w:rsid w:val="00CA78C9"/>
    <w:rsid w:val="00CE2377"/>
    <w:rsid w:val="00CF0D2A"/>
    <w:rsid w:val="00D26983"/>
    <w:rsid w:val="00D368B9"/>
    <w:rsid w:val="00D437E7"/>
    <w:rsid w:val="00D50BC0"/>
    <w:rsid w:val="00D5319C"/>
    <w:rsid w:val="00D7016D"/>
    <w:rsid w:val="00D7111E"/>
    <w:rsid w:val="00D81851"/>
    <w:rsid w:val="00D95800"/>
    <w:rsid w:val="00DD157D"/>
    <w:rsid w:val="00DE0E3E"/>
    <w:rsid w:val="00DE20BF"/>
    <w:rsid w:val="00DF694C"/>
    <w:rsid w:val="00E13781"/>
    <w:rsid w:val="00E16612"/>
    <w:rsid w:val="00E41AF7"/>
    <w:rsid w:val="00E42465"/>
    <w:rsid w:val="00E55064"/>
    <w:rsid w:val="00E550FB"/>
    <w:rsid w:val="00E6057B"/>
    <w:rsid w:val="00E6321A"/>
    <w:rsid w:val="00E7050A"/>
    <w:rsid w:val="00E707D4"/>
    <w:rsid w:val="00EA2A5F"/>
    <w:rsid w:val="00EA5514"/>
    <w:rsid w:val="00EC5B8D"/>
    <w:rsid w:val="00EE17F7"/>
    <w:rsid w:val="00EF6248"/>
    <w:rsid w:val="00F11181"/>
    <w:rsid w:val="00F35EAC"/>
    <w:rsid w:val="00F368DB"/>
    <w:rsid w:val="00F54451"/>
    <w:rsid w:val="00F61CF6"/>
    <w:rsid w:val="00F81EE5"/>
    <w:rsid w:val="00F91CEC"/>
    <w:rsid w:val="00FC25AE"/>
    <w:rsid w:val="00FF553E"/>
    <w:rsid w:val="0EEC0A37"/>
    <w:rsid w:val="116B8647"/>
    <w:rsid w:val="1E92754A"/>
    <w:rsid w:val="2C810077"/>
    <w:rsid w:val="51AA01F1"/>
    <w:rsid w:val="56658820"/>
    <w:rsid w:val="6275B3D0"/>
    <w:rsid w:val="783A58C7"/>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E9FB5"/>
  <w15:docId w15:val="{AE5B9534-F239-4C36-9216-17779C528E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pPr>
      <w:spacing w:line="240" w:lineRule="auto"/>
    </w:pPr>
    <w:tblPr>
      <w:tblStyleRowBandSize w:val="1"/>
      <w:tblStyleColBandSize w:val="1"/>
      <w:tblCellMar>
        <w:top w:w="0" w:type="dxa"/>
        <w:left w:w="108" w:type="dxa"/>
        <w:bottom w:w="0" w:type="dxa"/>
        <w:right w:w="108" w:type="dxa"/>
      </w:tblCellMar>
    </w:tblPr>
  </w:style>
  <w:style w:type="table" w:styleId="a0" w:customStyle="1">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a1" w:customStyle="1">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F368DB"/>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F368DB"/>
  </w:style>
  <w:style w:type="paragraph" w:styleId="Piedepgina">
    <w:name w:val="footer"/>
    <w:basedOn w:val="Normal"/>
    <w:link w:val="PiedepginaCar"/>
    <w:uiPriority w:val="99"/>
    <w:unhideWhenUsed/>
    <w:rsid w:val="00F368DB"/>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F368DB"/>
  </w:style>
  <w:style w:type="paragraph" w:styleId="TtuloTDC">
    <w:name w:val="TOC Heading"/>
    <w:basedOn w:val="Ttulo1"/>
    <w:next w:val="Normal"/>
    <w:uiPriority w:val="39"/>
    <w:unhideWhenUsed/>
    <w:qFormat/>
    <w:rsid w:val="00D7016D"/>
    <w:pPr>
      <w:spacing w:before="240" w:after="0" w:line="259" w:lineRule="auto"/>
      <w:outlineLvl w:val="9"/>
    </w:pPr>
    <w:rPr>
      <w:rFonts w:asciiTheme="majorHAnsi" w:hAnsiTheme="majorHAnsi" w:eastAsiaTheme="majorEastAsia" w:cstheme="majorBidi"/>
      <w:color w:val="365F91" w:themeColor="accent1" w:themeShade="BF"/>
      <w:sz w:val="32"/>
      <w:szCs w:val="32"/>
      <w:lang w:val="es-CL"/>
    </w:rPr>
  </w:style>
  <w:style w:type="paragraph" w:styleId="TDC1">
    <w:name w:val="toc 1"/>
    <w:basedOn w:val="Normal"/>
    <w:next w:val="Normal"/>
    <w:autoRedefine/>
    <w:uiPriority w:val="39"/>
    <w:unhideWhenUsed/>
    <w:rsid w:val="00D7016D"/>
    <w:pPr>
      <w:spacing w:after="100"/>
    </w:pPr>
  </w:style>
  <w:style w:type="paragraph" w:styleId="TDC2">
    <w:name w:val="toc 2"/>
    <w:basedOn w:val="Normal"/>
    <w:next w:val="Normal"/>
    <w:autoRedefine/>
    <w:uiPriority w:val="39"/>
    <w:unhideWhenUsed/>
    <w:rsid w:val="00D7016D"/>
    <w:pPr>
      <w:spacing w:after="100"/>
      <w:ind w:left="220"/>
    </w:pPr>
  </w:style>
  <w:style w:type="character" w:styleId="Hipervnculo">
    <w:name w:val="Hyperlink"/>
    <w:basedOn w:val="Fuentedeprrafopredeter"/>
    <w:uiPriority w:val="99"/>
    <w:unhideWhenUsed/>
    <w:rsid w:val="00D7016D"/>
    <w:rPr>
      <w:color w:val="0000FF" w:themeColor="hyperlink"/>
      <w:u w:val="single"/>
    </w:rPr>
  </w:style>
  <w:style w:type="paragraph" w:styleId="NormalWeb">
    <w:name w:val="Normal (Web)"/>
    <w:basedOn w:val="Normal"/>
    <w:uiPriority w:val="99"/>
    <w:semiHidden/>
    <w:unhideWhenUsed/>
    <w:rsid w:val="00B70584"/>
    <w:pPr>
      <w:spacing w:before="100" w:beforeAutospacing="1" w:after="100" w:afterAutospacing="1" w:line="240" w:lineRule="auto"/>
    </w:pPr>
    <w:rPr>
      <w:rFonts w:ascii="Times New Roman" w:hAnsi="Times New Roman" w:eastAsia="Times New Roman" w:cs="Times New Roman"/>
      <w:sz w:val="24"/>
      <w:szCs w:val="24"/>
      <w:lang w:val="es-CL"/>
    </w:rPr>
  </w:style>
  <w:style w:type="character" w:styleId="Fuerte">
    <w:name w:val="Strong"/>
    <w:basedOn w:val="Fuentedeprrafopredeter"/>
    <w:uiPriority w:val="22"/>
    <w:qFormat/>
    <w:rsid w:val="00B70584"/>
    <w:rPr>
      <w:b/>
      <w:bCs/>
    </w:rPr>
  </w:style>
  <w:style w:type="paragraph" w:styleId="Asuntodelcomentario">
    <w:name w:val="annotation subject"/>
    <w:basedOn w:val="Textocomentario"/>
    <w:next w:val="Textocomentario"/>
    <w:link w:val="AsuntodelcomentarioCar"/>
    <w:uiPriority w:val="99"/>
    <w:semiHidden/>
    <w:unhideWhenUsed/>
    <w:rsid w:val="00230A8F"/>
    <w:rPr>
      <w:b/>
      <w:bCs/>
    </w:rPr>
  </w:style>
  <w:style w:type="character" w:styleId="AsuntodelcomentarioCar" w:customStyle="1">
    <w:name w:val="Asunto del comentario Car"/>
    <w:basedOn w:val="TextocomentarioCar"/>
    <w:link w:val="Asuntodelcomentario"/>
    <w:uiPriority w:val="99"/>
    <w:semiHidden/>
    <w:rsid w:val="00230A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8743E91485A5E45879A9B731E1658E0" ma:contentTypeVersion="3" ma:contentTypeDescription="Crear nuevo documento." ma:contentTypeScope="" ma:versionID="12b715dbede7b8453a80372b87912c2e">
  <xsd:schema xmlns:xsd="http://www.w3.org/2001/XMLSchema" xmlns:xs="http://www.w3.org/2001/XMLSchema" xmlns:p="http://schemas.microsoft.com/office/2006/metadata/properties" xmlns:ns2="407ea779-b773-4460-a625-b2007399de77" targetNamespace="http://schemas.microsoft.com/office/2006/metadata/properties" ma:root="true" ma:fieldsID="9a1435c839457a0ecc5089839f5f8934" ns2:_="">
    <xsd:import namespace="407ea779-b773-4460-a625-b2007399de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ea779-b773-4460-a625-b2007399de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3AF788-8E22-48C9-A3F0-006BF4E22C9A}">
  <ds:schemaRefs>
    <ds:schemaRef ds:uri="http://schemas.microsoft.com/sharepoint/v3/contenttype/forms"/>
  </ds:schemaRefs>
</ds:datastoreItem>
</file>

<file path=customXml/itemProps2.xml><?xml version="1.0" encoding="utf-8"?>
<ds:datastoreItem xmlns:ds="http://schemas.openxmlformats.org/officeDocument/2006/customXml" ds:itemID="{C7CC9A5B-28FC-4630-A77C-D8BD999F1A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ea779-b773-4460-a625-b2007399d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18B809-5533-4C29-B43D-9E2BA99F3BB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Isidora Escobar</dc:creator>
  <keywords/>
  <lastModifiedBy>Melany Alejandra Fuentes Robles</lastModifiedBy>
  <revision>3</revision>
  <dcterms:created xsi:type="dcterms:W3CDTF">2026-03-30T14:23:00.0000000Z</dcterms:created>
  <dcterms:modified xsi:type="dcterms:W3CDTF">2026-03-31T12:09:58.4153780Z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0x01010008743E91485A5E45879A9B731E1658E0</vt:lpwstr>
  </property>
  <property fmtid="{D5CDD505-2E9C-101B-9397-08002B2CF9AE}" pid="3" name="Order">
    <vt:r8>17000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