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6F10" w14:textId="13C6AF44" w:rsidR="000A6052" w:rsidRDefault="00F368DB">
      <w:r>
        <w:rPr>
          <w:noProof/>
        </w:rPr>
        <w:drawing>
          <wp:anchor distT="0" distB="0" distL="114300" distR="114300" simplePos="0" relativeHeight="251658241" behindDoc="1" locked="0" layoutInCell="1" allowOverlap="1" wp14:anchorId="316D5FA3" wp14:editId="6D61E8A9">
            <wp:simplePos x="0" y="0"/>
            <wp:positionH relativeFrom="page">
              <wp:align>left</wp:align>
            </wp:positionH>
            <wp:positionV relativeFrom="paragraph">
              <wp:posOffset>-914400</wp:posOffset>
            </wp:positionV>
            <wp:extent cx="7537450" cy="10674350"/>
            <wp:effectExtent l="0" t="0" r="6350" b="0"/>
            <wp:wrapNone/>
            <wp:docPr id="1083859946" name="Imagen 4"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9946" name="Imagen 4" descr="Logotipo  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37450" cy="10674350"/>
                    </a:xfrm>
                    <a:prstGeom prst="rect">
                      <a:avLst/>
                    </a:prstGeom>
                  </pic:spPr>
                </pic:pic>
              </a:graphicData>
            </a:graphic>
            <wp14:sizeRelH relativeFrom="page">
              <wp14:pctWidth>0</wp14:pctWidth>
            </wp14:sizeRelH>
            <wp14:sizeRelV relativeFrom="page">
              <wp14:pctHeight>0</wp14:pctHeight>
            </wp14:sizeRelV>
          </wp:anchor>
        </w:drawing>
      </w:r>
    </w:p>
    <w:p w14:paraId="7CCF7C18" w14:textId="77777777" w:rsidR="000A6052" w:rsidRDefault="000A6052"/>
    <w:p w14:paraId="3ED8A944" w14:textId="12291BE8" w:rsidR="000A6052" w:rsidRDefault="000A6052"/>
    <w:p w14:paraId="18E27BFC" w14:textId="77777777" w:rsidR="000A6052" w:rsidRDefault="000A6052"/>
    <w:p w14:paraId="43BB23B3" w14:textId="77777777" w:rsidR="000A6052" w:rsidRDefault="000A6052"/>
    <w:p w14:paraId="7D5569DB" w14:textId="23DB117C" w:rsidR="000A6052" w:rsidRDefault="000A6052"/>
    <w:p w14:paraId="50CB02F9" w14:textId="5C46B7FC" w:rsidR="000A6052" w:rsidRDefault="000A6052"/>
    <w:p w14:paraId="173DF396" w14:textId="77777777" w:rsidR="000A6052" w:rsidRDefault="000A6052"/>
    <w:p w14:paraId="3EB66EE6" w14:textId="77777777" w:rsidR="000A6052" w:rsidRDefault="000A6052"/>
    <w:p w14:paraId="77C94A3D" w14:textId="77777777" w:rsidR="000A6052" w:rsidRDefault="000A6052"/>
    <w:p w14:paraId="0031FA74" w14:textId="04402347" w:rsidR="000A6052" w:rsidRDefault="000A6052"/>
    <w:p w14:paraId="1861E406" w14:textId="77777777" w:rsidR="000A6052" w:rsidRDefault="000A6052"/>
    <w:p w14:paraId="7E757047" w14:textId="3890C8E0" w:rsidR="000A6052" w:rsidRDefault="000A6052"/>
    <w:p w14:paraId="7A61418A" w14:textId="468414BF" w:rsidR="000A6052" w:rsidRDefault="00F368DB">
      <w:r>
        <w:rPr>
          <w:noProof/>
        </w:rPr>
        <mc:AlternateContent>
          <mc:Choice Requires="wps">
            <w:drawing>
              <wp:anchor distT="45720" distB="45720" distL="114300" distR="114300" simplePos="0" relativeHeight="251658242" behindDoc="0" locked="0" layoutInCell="1" allowOverlap="1" wp14:anchorId="7366DEC3" wp14:editId="541CB44F">
                <wp:simplePos x="0" y="0"/>
                <wp:positionH relativeFrom="page">
                  <wp:align>right</wp:align>
                </wp:positionH>
                <wp:positionV relativeFrom="paragraph">
                  <wp:posOffset>5080</wp:posOffset>
                </wp:positionV>
                <wp:extent cx="330835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0" cy="1404620"/>
                        </a:xfrm>
                        <a:prstGeom prst="rect">
                          <a:avLst/>
                        </a:prstGeom>
                        <a:noFill/>
                        <a:ln w="9525">
                          <a:noFill/>
                          <a:miter lim="800000"/>
                          <a:headEnd/>
                          <a:tailEnd/>
                        </a:ln>
                      </wps:spPr>
                      <wps:txbx>
                        <w:txbxContent>
                          <w:p w14:paraId="63429EB5" w14:textId="489C3F11" w:rsidR="00F368DB" w:rsidRPr="00F368DB" w:rsidRDefault="00F368DB">
                            <w:pPr>
                              <w:rPr>
                                <w:b/>
                                <w:bCs/>
                                <w:color w:val="31849B"/>
                                <w:sz w:val="36"/>
                                <w:szCs w:val="36"/>
                                <w:lang w:val="es-CL"/>
                              </w:rPr>
                            </w:pPr>
                            <w:r>
                              <w:rPr>
                                <w:b/>
                                <w:bCs/>
                                <w:color w:val="31849B"/>
                                <w:sz w:val="36"/>
                                <w:szCs w:val="36"/>
                                <w:lang w:val="es-CL"/>
                              </w:rPr>
                              <w:t>Instructivo de Análisis de Productividad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66DEC3" id="_x0000_t202" coordsize="21600,21600" o:spt="202" path="m,l,21600r21600,l21600,xe">
                <v:stroke joinstyle="miter"/>
                <v:path gradientshapeok="t" o:connecttype="rect"/>
              </v:shapetype>
              <v:shape id="Cuadro de texto 2" o:spid="_x0000_s1026" type="#_x0000_t202" style="position:absolute;margin-left:209.3pt;margin-top:.4pt;width:260.5pt;height:110.6pt;z-index:25165824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Btqu+gEAAM4DAAAOAAAAZHJzL2Uyb0RvYy54bWysU8tu2zAQvBfoPxC815JfqSNYDtKkLgqk DyDtB9AUZRElueyStpR+fZeU4xjtragOBKnlzu7MDtc3gzXsqDBocDWfTkrOlJPQaLev+fdv2zcr zkIUrhEGnKr5kwr8ZvP61br3lZpBB6ZRyAjEhar3Ne9i9FVRBNkpK8IEvHIUbAGtiHTEfdGg6And mmJWlldFD9h4BKlCoL/3Y5BvMn7bKhm/tG1QkZmaU28xr5jXXVqLzVpUexS+0/LUhviHLqzQjoqe oe5FFOyA+i8oqyVCgDZOJNgC2lZLlTkQm2n5B5vHTniVuZA4wZ9lCv8PVn4+PvqvyOLwDgYaYCYR /APIH4E5uOuE26tbROg7JRoqPE2SFb0P1Sk1SR2qkEB2/SdoaMjiECEDDS3apArxZIROA3g6i66G yCT9nM/L1XxJIUmx6aJcXM3yWApRPad7DPGDAsvSpuZIU83w4vgQYmpHVM9XUjUHW21MnqxxrK/5 9XK2zAkXEasjGc9oW/NVmb7RConle9fk5Ci0GfdUwLgT7cR05ByH3UAXE/0dNE8kAMJoMHoQtOkA f3HWk7lqHn4eBCrOzEdHIl5PF4vkxnxYLN8SY4aXkd1lRDhJUDWPnI3bu5gdnLgGf0tib3WW4aWT U69kmqzOyeDJlZfnfOvlGW5+AwAA//8DAFBLAwQUAAYACAAAACEAm8LKLtkAAAAFAQAADwAAAGRy cy9kb3ducmV2LnhtbEyPzU7DMBCE70i8g7VI3KhdS/woxKkq1JYjUCLObrxNosZrK3bT8PYsJziO ZjTzTbma/SAmHFMfyMByoUAgNcH11BqoP7d3TyBStuTsEAgNfGOCVXV9VdrChQt94LTPreASSoU1 0OUcCylT06G3aREiEnvHMHqbWY6tdKO9cLkfpFbqQXrbEy90NuJLh81pf/YGYo67x9fx7X292U6q /trVum83xtzezOtnEBnn/BeGX3xGh4qZDuFMLonBAB/JBpievXu9ZHkwoLVWIKtS/qevfgAAAP// AwBQSwECLQAUAAYACAAAACEAtoM4kv4AAADhAQAAEwAAAAAAAAAAAAAAAAAAAAAAW0NvbnRlbnRf VHlwZXNdLnhtbFBLAQItABQABgAIAAAAIQA4/SH/1gAAAJQBAAALAAAAAAAAAAAAAAAAAC8BAABf cmVscy8ucmVsc1BLAQItABQABgAIAAAAIQAsBtqu+gEAAM4DAAAOAAAAAAAAAAAAAAAAAC4CAABk cnMvZTJvRG9jLnhtbFBLAQItABQABgAIAAAAIQCbwsou2QAAAAUBAAAPAAAAAAAAAAAAAAAAAFQE AABkcnMvZG93bnJldi54bWxQSwUGAAAAAAQABADzAAAAWgUAAAAA " filled="f" stroked="f">
                <v:textbox style="mso-fit-shape-to-text:t">
                  <w:txbxContent>
                    <w:p w14:paraId="63429EB5" w14:textId="489C3F11" w:rsidR="00F368DB" w:rsidRPr="00F368DB" w:rsidRDefault="00F368DB">
                      <w:pPr>
                        <w:rPr>
                          <w:b/>
                          <w:bCs/>
                          <w:color w:val="31849B"/>
                          <w:sz w:val="36"/>
                          <w:szCs w:val="36"/>
                          <w:lang w:val="es-CL"/>
                        </w:rPr>
                      </w:pPr>
                      <w:r>
                        <w:rPr>
                          <w:b/>
                          <w:bCs/>
                          <w:color w:val="31849B"/>
                          <w:sz w:val="36"/>
                          <w:szCs w:val="36"/>
                          <w:lang w:val="es-CL"/>
                        </w:rPr>
                        <w:t>Instructivo de Análisis de Productividad</w:t>
                      </w:r>
                    </w:p>
                  </w:txbxContent>
                </v:textbox>
                <w10:wrap type="square" anchorx="page"/>
              </v:shape>
            </w:pict>
          </mc:Fallback>
        </mc:AlternateContent>
      </w:r>
    </w:p>
    <w:p w14:paraId="001C572E" w14:textId="54A056CA" w:rsidR="000A6052" w:rsidRDefault="000A6052"/>
    <w:p w14:paraId="5A491F8E" w14:textId="4C85D353" w:rsidR="000A6052" w:rsidRDefault="000A6052"/>
    <w:p w14:paraId="424C6BFF" w14:textId="5527C340" w:rsidR="000A6052" w:rsidRDefault="000A6052"/>
    <w:p w14:paraId="08D7DC99" w14:textId="1705AE0A" w:rsidR="000A6052" w:rsidRDefault="000A6052"/>
    <w:p w14:paraId="5C368D95" w14:textId="3117E189" w:rsidR="000A6052" w:rsidRDefault="000A6052"/>
    <w:p w14:paraId="33E26938" w14:textId="6F86BD70" w:rsidR="000A6052" w:rsidRDefault="000A6052"/>
    <w:p w14:paraId="0FEB45E4" w14:textId="77777777" w:rsidR="000A6052" w:rsidRDefault="000A6052"/>
    <w:p w14:paraId="4FE4E650" w14:textId="41728C68" w:rsidR="000A6052" w:rsidRDefault="000A6052"/>
    <w:p w14:paraId="1B646488" w14:textId="0477A408" w:rsidR="000A6052" w:rsidRDefault="000A6052"/>
    <w:p w14:paraId="7571643C" w14:textId="3674EB06" w:rsidR="000A6052" w:rsidRDefault="00D7016D">
      <w:r>
        <w:rPr>
          <w:noProof/>
        </w:rPr>
        <mc:AlternateContent>
          <mc:Choice Requires="wps">
            <w:drawing>
              <wp:anchor distT="45720" distB="45720" distL="114300" distR="114300" simplePos="0" relativeHeight="251658243" behindDoc="0" locked="0" layoutInCell="1" allowOverlap="1" wp14:anchorId="5A303BDF" wp14:editId="04432813">
                <wp:simplePos x="0" y="0"/>
                <wp:positionH relativeFrom="column">
                  <wp:posOffset>3479800</wp:posOffset>
                </wp:positionH>
                <wp:positionV relativeFrom="paragraph">
                  <wp:posOffset>139065</wp:posOffset>
                </wp:positionV>
                <wp:extent cx="1676400" cy="1365250"/>
                <wp:effectExtent l="0" t="0" r="0" b="6350"/>
                <wp:wrapSquare wrapText="bothSides"/>
                <wp:docPr id="12156544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365250"/>
                        </a:xfrm>
                        <a:prstGeom prst="rect">
                          <a:avLst/>
                        </a:prstGeom>
                        <a:noFill/>
                        <a:ln w="9525">
                          <a:noFill/>
                          <a:miter lim="800000"/>
                          <a:headEnd/>
                          <a:tailEnd/>
                        </a:ln>
                      </wps:spPr>
                      <wps:txbx>
                        <w:txbxContent>
                          <w:p w14:paraId="59F58832" w14:textId="3104D857" w:rsidR="00D7016D" w:rsidRDefault="00D7016D" w:rsidP="00D7016D">
                            <w:pPr>
                              <w:spacing w:before="240" w:after="240" w:line="240" w:lineRule="auto"/>
                              <w:textDirection w:val="btLr"/>
                            </w:pPr>
                            <w:r>
                              <w:rPr>
                                <w:color w:val="00778B"/>
                                <w:sz w:val="36"/>
                              </w:rPr>
                              <w:t>Febrero</w:t>
                            </w:r>
                          </w:p>
                          <w:p w14:paraId="3B76CACB" w14:textId="77777777" w:rsidR="00D7016D" w:rsidRDefault="00D7016D" w:rsidP="00D7016D">
                            <w:pPr>
                              <w:spacing w:before="240" w:after="240" w:line="240" w:lineRule="auto"/>
                              <w:textDirection w:val="btLr"/>
                            </w:pPr>
                            <w:r>
                              <w:rPr>
                                <w:color w:val="888B8D"/>
                                <w:sz w:val="80"/>
                              </w:rPr>
                              <w:t>2026</w:t>
                            </w:r>
                          </w:p>
                          <w:p w14:paraId="3CCC467A" w14:textId="09482D77" w:rsidR="00D7016D" w:rsidRDefault="00D701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03BDF" id="_x0000_s1027" type="#_x0000_t202" style="position:absolute;margin-left:274pt;margin-top:10.95pt;width:132pt;height:10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n8go+gEAANUDAAAOAAAAZHJzL2Uyb0RvYy54bWysU8tu2zAQvBfoPxC815Jd20kEy0GaNEWB 9AGk/QCaoiyiJJdd0pbSr++SUhyjvRXVgeBqydmd2eHmerCGHRUGDa7m81nJmXISGu32Nf/+7f7N JWchCtcIA07V/EkFfr19/WrT+0otoAPTKGQE4kLV+5p3MfqqKILslBVhBl45SraAVkQKcV80KHpC t6ZYlOW66AEbjyBVCPT3bkzybcZvWyXjl7YNKjJTc+ot5hXzuktrsd2Iao/Cd1pObYh/6MIK7ajo CepORMEOqP+CsloiBGjjTIItoG21VJkDsZmXf7B57IRXmQuJE/xJpvD/YOXn46P/iiwO72CgAWYS wT+A/BGYg9tOuL26QYS+U6KhwvMkWdH7UE1Xk9ShCglk13+ChoYsDhEy0NCiTaoQT0boNICnk+hq iEymkuuL9bKklKTc/O16tVjlsRSier7uMcQPCixLm5ojTTXDi+NDiKkdUT0fSdUc3Gtj8mSNY33N rwgzXzjLWB3JeEbbml+W6RutkFi+d02+HIU2454KGDfRTkxHznHYDUw3kyZJhR00T6QDwugzehe0 6QB/cdaTx2oefh4EKs7MR0daXs2Xy2TKHCxXFwsK8DyzO88IJwmq5pGzcXsbs5FHyjekeauzGi+d TC2Td7JIk8+TOc/jfOrlNW5/AwAA//8DAFBLAwQUAAYACAAAACEA8QLfOd4AAAAKAQAADwAAAGRy cy9kb3ducmV2LnhtbEyPzU7DMBCE70i8g7VI3Kid0FZJGqdCIK4gyo/Umxtvk4h4HcVuE96e5USP Ozua+abczq4XZxxD50lDslAgkGpvO2o0fLw/32UgQjRkTe8JNfxggG11fVWawvqJ3vC8i43gEAqF 0dDGOBRShrpFZ8LCD0j8O/rRmcjn2Eg7monDXS9TpdbSmY64oTUDPrZYf+9OTsPny3H/tVSvzZNb DZOflSSXS61vb+aHDYiIc/w3wx8+o0PFTAd/IhtEr2G1zHhL1JAmOQg2ZEnKwoGF+3UOsirl5YTq FwAA//8DAFBLAQItABQABgAIAAAAIQC2gziS/gAAAOEBAAATAAAAAAAAAAAAAAAAAAAAAABbQ29u dGVudF9UeXBlc10ueG1sUEsBAi0AFAAGAAgAAAAhADj9If/WAAAAlAEAAAsAAAAAAAAAAAAAAAAA LwEAAF9yZWxzLy5yZWxzUEsBAi0AFAAGAAgAAAAhAOifyCj6AQAA1QMAAA4AAAAAAAAAAAAAAAAA LgIAAGRycy9lMm9Eb2MueG1sUEsBAi0AFAAGAAgAAAAhAPEC3zneAAAACgEAAA8AAAAAAAAAAAAA AAAAVAQAAGRycy9kb3ducmV2LnhtbFBLBQYAAAAABAAEAPMAAABfBQAAAAA= " filled="f" stroked="f">
                <v:textbox>
                  <w:txbxContent>
                    <w:p w14:paraId="59F58832" w14:textId="3104D857" w:rsidR="00D7016D" w:rsidRDefault="00D7016D" w:rsidP="00D7016D">
                      <w:pPr>
                        <w:spacing w:before="240" w:after="240" w:line="240" w:lineRule="auto"/>
                        <w:textDirection w:val="btLr"/>
                      </w:pPr>
                      <w:r>
                        <w:rPr>
                          <w:color w:val="00778B"/>
                          <w:sz w:val="36"/>
                        </w:rPr>
                        <w:t>Febrero</w:t>
                      </w:r>
                    </w:p>
                    <w:p w14:paraId="3B76CACB" w14:textId="77777777" w:rsidR="00D7016D" w:rsidRDefault="00D7016D" w:rsidP="00D7016D">
                      <w:pPr>
                        <w:spacing w:before="240" w:after="240" w:line="240" w:lineRule="auto"/>
                        <w:textDirection w:val="btLr"/>
                      </w:pPr>
                      <w:r>
                        <w:rPr>
                          <w:color w:val="888B8D"/>
                          <w:sz w:val="80"/>
                        </w:rPr>
                        <w:t>2026</w:t>
                      </w:r>
                    </w:p>
                    <w:p w14:paraId="3CCC467A" w14:textId="09482D77" w:rsidR="00D7016D" w:rsidRDefault="00D7016D"/>
                  </w:txbxContent>
                </v:textbox>
                <w10:wrap type="square"/>
              </v:shape>
            </w:pict>
          </mc:Fallback>
        </mc:AlternateContent>
      </w:r>
    </w:p>
    <w:p w14:paraId="1A1F3FCB" w14:textId="0676B2CC" w:rsidR="000A6052" w:rsidRDefault="000A6052"/>
    <w:p w14:paraId="3BDF1B19" w14:textId="4E0BBFE7" w:rsidR="000A6052" w:rsidRDefault="000A6052"/>
    <w:p w14:paraId="791F6B71" w14:textId="3737CA8E" w:rsidR="000A6052" w:rsidRDefault="000A6052"/>
    <w:p w14:paraId="4569B454" w14:textId="20DF6D68" w:rsidR="000A6052" w:rsidRDefault="000A6052"/>
    <w:p w14:paraId="0337D21C" w14:textId="3D6B5699" w:rsidR="000A6052" w:rsidRDefault="000A6052"/>
    <w:p w14:paraId="0F843C9D" w14:textId="316496BC" w:rsidR="000A6052" w:rsidRDefault="000A6052"/>
    <w:p w14:paraId="5F160E9B" w14:textId="77777777" w:rsidR="000A6052" w:rsidRDefault="000A6052"/>
    <w:p w14:paraId="6C3B2A4C" w14:textId="77777777" w:rsidR="000A6052" w:rsidRDefault="000A6052"/>
    <w:p w14:paraId="34D28538" w14:textId="77777777" w:rsidR="000A6052" w:rsidRDefault="000A6052"/>
    <w:p w14:paraId="0B4D867F" w14:textId="77777777" w:rsidR="000A6052" w:rsidRDefault="000A6052"/>
    <w:p w14:paraId="382D5EC0" w14:textId="77777777" w:rsidR="000A6052" w:rsidRDefault="000A6052"/>
    <w:p w14:paraId="3F98B076" w14:textId="77777777" w:rsidR="000A6052" w:rsidRDefault="000A6052"/>
    <w:p w14:paraId="5FB667FF" w14:textId="77777777" w:rsidR="000A6052" w:rsidRDefault="000A6052"/>
    <w:p w14:paraId="73C08643" w14:textId="77777777" w:rsidR="000A6052" w:rsidRDefault="000A6052"/>
    <w:p w14:paraId="3BEBB65F" w14:textId="77777777" w:rsidR="000A6052" w:rsidRDefault="000A6052"/>
    <w:p w14:paraId="5CC02211" w14:textId="77777777" w:rsidR="000A6052" w:rsidRDefault="000A6052"/>
    <w:p w14:paraId="51E7D1EC" w14:textId="77777777" w:rsidR="000A6052" w:rsidRDefault="000A6052"/>
    <w:p w14:paraId="456D2C37" w14:textId="77777777" w:rsidR="000A6052" w:rsidRDefault="000A6052"/>
    <w:p w14:paraId="08461FE3" w14:textId="77777777" w:rsidR="000A6052" w:rsidRDefault="000A6052"/>
    <w:p w14:paraId="0541FC25" w14:textId="77777777" w:rsidR="000A6052" w:rsidRDefault="000A6052"/>
    <w:p w14:paraId="4F72BF27" w14:textId="77777777" w:rsidR="000A6052" w:rsidRDefault="000A6052"/>
    <w:p w14:paraId="001C1F5A" w14:textId="77777777" w:rsidR="000A6052" w:rsidRDefault="000A6052"/>
    <w:p w14:paraId="51EB6D8D" w14:textId="77777777" w:rsidR="000A6052" w:rsidRDefault="000A6052"/>
    <w:p w14:paraId="3714ACB2" w14:textId="77777777" w:rsidR="000A6052" w:rsidRDefault="000A6052">
      <w:pPr>
        <w:spacing w:after="120" w:line="264" w:lineRule="auto"/>
        <w:jc w:val="both"/>
        <w:rPr>
          <w:rFonts w:ascii="Calibri" w:eastAsia="Calibri" w:hAnsi="Calibri" w:cs="Calibri"/>
        </w:rPr>
      </w:pPr>
    </w:p>
    <w:tbl>
      <w:tblPr>
        <w:tblStyle w:val="a"/>
        <w:tblpPr w:leftFromText="141" w:rightFromText="141" w:vertAnchor="text"/>
        <w:tblW w:w="854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65"/>
        <w:gridCol w:w="4320"/>
        <w:gridCol w:w="2160"/>
      </w:tblGrid>
      <w:tr w:rsidR="000A6052" w14:paraId="13A3F54D" w14:textId="77777777" w:rsidTr="51AA01F1">
        <w:trPr>
          <w:trHeight w:val="1243"/>
        </w:trPr>
        <w:tc>
          <w:tcPr>
            <w:tcW w:w="2065" w:type="dxa"/>
          </w:tcPr>
          <w:p w14:paraId="2F320906" w14:textId="77777777" w:rsidR="000A6052" w:rsidRDefault="00E6057B">
            <w:pPr>
              <w:jc w:val="both"/>
              <w:rPr>
                <w:rFonts w:ascii="Calibri" w:eastAsia="Calibri" w:hAnsi="Calibri" w:cs="Calibri"/>
                <w:b/>
                <w:bCs/>
                <w:color w:val="404040"/>
              </w:rPr>
            </w:pPr>
            <w:r>
              <w:rPr>
                <w:rFonts w:ascii="Calibri" w:eastAsia="Calibri" w:hAnsi="Calibri" w:cs="Calibri"/>
                <w:b/>
                <w:bCs/>
                <w:color w:val="31849B"/>
              </w:rPr>
              <w:lastRenderedPageBreak/>
              <w:t>ELABORADO POR:</w:t>
            </w:r>
          </w:p>
        </w:tc>
        <w:tc>
          <w:tcPr>
            <w:tcW w:w="4320" w:type="dxa"/>
          </w:tcPr>
          <w:p w14:paraId="2D90F549" w14:textId="77777777" w:rsidR="000A6052" w:rsidRDefault="00E6057B">
            <w:pPr>
              <w:jc w:val="both"/>
              <w:rPr>
                <w:rFonts w:ascii="Calibri" w:eastAsia="Calibri" w:hAnsi="Calibri" w:cs="Calibri"/>
                <w:b/>
                <w:bCs/>
                <w:color w:val="31849B"/>
              </w:rPr>
            </w:pPr>
            <w:r>
              <w:rPr>
                <w:rFonts w:ascii="Calibri" w:eastAsia="Calibri" w:hAnsi="Calibri" w:cs="Calibri"/>
                <w:b/>
                <w:bCs/>
                <w:color w:val="31849B"/>
              </w:rPr>
              <w:t>Melany Fuentes R.</w:t>
            </w:r>
          </w:p>
          <w:p w14:paraId="2D1EBDA6" w14:textId="77777777" w:rsidR="000A6052" w:rsidRDefault="00E6057B">
            <w:pPr>
              <w:jc w:val="both"/>
              <w:rPr>
                <w:rFonts w:ascii="Calibri" w:eastAsia="Calibri" w:hAnsi="Calibri" w:cs="Calibri"/>
                <w:color w:val="404040"/>
              </w:rPr>
            </w:pPr>
            <w:r>
              <w:rPr>
                <w:rFonts w:ascii="Calibri" w:eastAsia="Calibri" w:hAnsi="Calibri" w:cs="Calibri"/>
                <w:color w:val="404040"/>
              </w:rPr>
              <w:t>Especialista Gestión Servicios Terceros</w:t>
            </w:r>
          </w:p>
          <w:p w14:paraId="0F5E51C3" w14:textId="77777777" w:rsidR="000A6052" w:rsidRDefault="00E6057B">
            <w:pPr>
              <w:jc w:val="both"/>
              <w:rPr>
                <w:rFonts w:ascii="Calibri" w:eastAsia="Calibri" w:hAnsi="Calibri" w:cs="Calibri"/>
                <w:color w:val="404040"/>
              </w:rPr>
            </w:pPr>
            <w:r>
              <w:rPr>
                <w:rFonts w:ascii="Calibri" w:eastAsia="Calibri" w:hAnsi="Calibri" w:cs="Calibri"/>
                <w:color w:val="404040"/>
              </w:rPr>
              <w:t>Gerencia de Finanzas MLP</w:t>
            </w:r>
          </w:p>
          <w:p w14:paraId="3073721E" w14:textId="77777777" w:rsidR="000A6052" w:rsidRDefault="00E6057B">
            <w:pPr>
              <w:jc w:val="both"/>
              <w:rPr>
                <w:rFonts w:ascii="Calibri" w:eastAsia="Calibri" w:hAnsi="Calibri" w:cs="Calibri"/>
                <w:color w:val="404040"/>
              </w:rPr>
            </w:pPr>
            <w:r>
              <w:rPr>
                <w:rFonts w:ascii="Calibri" w:eastAsia="Calibri" w:hAnsi="Calibri" w:cs="Calibri"/>
                <w:color w:val="404040"/>
              </w:rPr>
              <w:t>2026</w:t>
            </w:r>
          </w:p>
          <w:p w14:paraId="57EDBF4A" w14:textId="77777777" w:rsidR="000A6052" w:rsidRDefault="000A6052">
            <w:pPr>
              <w:jc w:val="both"/>
              <w:rPr>
                <w:rFonts w:ascii="Calibri" w:eastAsia="Calibri" w:hAnsi="Calibri" w:cs="Calibri"/>
                <w:color w:val="404040"/>
              </w:rPr>
            </w:pPr>
          </w:p>
        </w:tc>
        <w:tc>
          <w:tcPr>
            <w:tcW w:w="2160" w:type="dxa"/>
          </w:tcPr>
          <w:p w14:paraId="56D06448" w14:textId="77777777" w:rsidR="000A6052" w:rsidRDefault="00E6057B">
            <w:pPr>
              <w:jc w:val="both"/>
              <w:rPr>
                <w:rFonts w:ascii="Calibri" w:eastAsia="Calibri" w:hAnsi="Calibri" w:cs="Calibri"/>
                <w:b/>
                <w:bCs/>
                <w:color w:val="404040"/>
              </w:rPr>
            </w:pPr>
            <w:r>
              <w:rPr>
                <w:rFonts w:ascii="Calibri" w:eastAsia="Calibri" w:hAnsi="Calibri" w:cs="Calibri"/>
                <w:b/>
                <w:bCs/>
                <w:color w:val="31849B"/>
              </w:rPr>
              <w:t>FIRMA:</w:t>
            </w:r>
          </w:p>
        </w:tc>
      </w:tr>
      <w:tr w:rsidR="000A6052" w14:paraId="4CFF9313" w14:textId="77777777" w:rsidTr="51AA01F1">
        <w:tc>
          <w:tcPr>
            <w:tcW w:w="2065" w:type="dxa"/>
          </w:tcPr>
          <w:p w14:paraId="140647F8" w14:textId="77777777" w:rsidR="000A6052" w:rsidRDefault="00E6057B">
            <w:pPr>
              <w:jc w:val="both"/>
              <w:rPr>
                <w:rFonts w:ascii="Calibri" w:eastAsia="Calibri" w:hAnsi="Calibri" w:cs="Calibri"/>
                <w:b/>
                <w:bCs/>
                <w:color w:val="404040"/>
              </w:rPr>
            </w:pPr>
            <w:r>
              <w:rPr>
                <w:rFonts w:ascii="Calibri" w:eastAsia="Calibri" w:hAnsi="Calibri" w:cs="Calibri"/>
                <w:b/>
                <w:bCs/>
                <w:color w:val="31849B"/>
              </w:rPr>
              <w:t>REVISADO POR:</w:t>
            </w:r>
          </w:p>
        </w:tc>
        <w:tc>
          <w:tcPr>
            <w:tcW w:w="4320" w:type="dxa"/>
          </w:tcPr>
          <w:p w14:paraId="5003A306" w14:textId="77777777" w:rsidR="000A6052" w:rsidRDefault="00E6057B">
            <w:pPr>
              <w:jc w:val="both"/>
              <w:rPr>
                <w:rFonts w:ascii="Calibri" w:eastAsia="Calibri" w:hAnsi="Calibri" w:cs="Calibri"/>
                <w:b/>
                <w:bCs/>
                <w:color w:val="31849B"/>
              </w:rPr>
            </w:pPr>
            <w:r>
              <w:rPr>
                <w:rFonts w:ascii="Calibri" w:eastAsia="Calibri" w:hAnsi="Calibri" w:cs="Calibri"/>
                <w:b/>
                <w:bCs/>
                <w:color w:val="31849B"/>
              </w:rPr>
              <w:t>Sibila Valdés S.</w:t>
            </w:r>
          </w:p>
          <w:p w14:paraId="36920448" w14:textId="77777777" w:rsidR="000A6052" w:rsidRDefault="00E6057B">
            <w:pPr>
              <w:jc w:val="both"/>
              <w:rPr>
                <w:rFonts w:ascii="Calibri" w:eastAsia="Calibri" w:hAnsi="Calibri" w:cs="Calibri"/>
                <w:color w:val="404040"/>
              </w:rPr>
            </w:pPr>
            <w:r>
              <w:rPr>
                <w:rFonts w:ascii="Calibri" w:eastAsia="Calibri" w:hAnsi="Calibri" w:cs="Calibri"/>
                <w:color w:val="404040"/>
              </w:rPr>
              <w:t>Superintendente de gestión servicio de terceros.</w:t>
            </w:r>
          </w:p>
          <w:p w14:paraId="1ABB159A" w14:textId="77777777" w:rsidR="000A6052" w:rsidRDefault="00E6057B">
            <w:pPr>
              <w:jc w:val="both"/>
              <w:rPr>
                <w:rFonts w:ascii="Calibri" w:eastAsia="Calibri" w:hAnsi="Calibri" w:cs="Calibri"/>
                <w:color w:val="404040"/>
              </w:rPr>
            </w:pPr>
            <w:r>
              <w:rPr>
                <w:rFonts w:ascii="Calibri" w:eastAsia="Calibri" w:hAnsi="Calibri" w:cs="Calibri"/>
                <w:color w:val="404040"/>
              </w:rPr>
              <w:t>Gerencia de Finanzas MLP</w:t>
            </w:r>
          </w:p>
          <w:p w14:paraId="16386773" w14:textId="77777777" w:rsidR="000A6052" w:rsidRDefault="00E6057B">
            <w:pPr>
              <w:jc w:val="both"/>
              <w:rPr>
                <w:rFonts w:ascii="Calibri" w:eastAsia="Calibri" w:hAnsi="Calibri" w:cs="Calibri"/>
                <w:color w:val="404040"/>
              </w:rPr>
            </w:pPr>
            <w:r>
              <w:rPr>
                <w:rFonts w:ascii="Calibri" w:eastAsia="Calibri" w:hAnsi="Calibri" w:cs="Calibri"/>
                <w:color w:val="404040"/>
              </w:rPr>
              <w:t>2026</w:t>
            </w:r>
          </w:p>
          <w:p w14:paraId="0CE56A97" w14:textId="77777777" w:rsidR="000A6052" w:rsidRDefault="000A6052">
            <w:pPr>
              <w:jc w:val="both"/>
              <w:rPr>
                <w:rFonts w:ascii="Calibri" w:eastAsia="Calibri" w:hAnsi="Calibri" w:cs="Calibri"/>
                <w:color w:val="404040"/>
              </w:rPr>
            </w:pPr>
          </w:p>
        </w:tc>
        <w:tc>
          <w:tcPr>
            <w:tcW w:w="2160" w:type="dxa"/>
          </w:tcPr>
          <w:p w14:paraId="5836E517" w14:textId="77777777" w:rsidR="000A6052" w:rsidRDefault="00E6057B">
            <w:pPr>
              <w:jc w:val="both"/>
              <w:rPr>
                <w:rFonts w:ascii="Calibri" w:eastAsia="Calibri" w:hAnsi="Calibri" w:cs="Calibri"/>
                <w:b/>
                <w:bCs/>
                <w:color w:val="404040"/>
              </w:rPr>
            </w:pPr>
            <w:r>
              <w:rPr>
                <w:rFonts w:ascii="Calibri" w:eastAsia="Calibri" w:hAnsi="Calibri" w:cs="Calibri"/>
                <w:b/>
                <w:bCs/>
                <w:color w:val="31849B"/>
              </w:rPr>
              <w:t>FIRMA:</w:t>
            </w:r>
            <w:r>
              <w:rPr>
                <w:noProof/>
              </w:rPr>
              <w:drawing>
                <wp:anchor distT="0" distB="0" distL="114300" distR="114300" simplePos="0" relativeHeight="251658240" behindDoc="0" locked="0" layoutInCell="1" hidden="0" allowOverlap="1" wp14:anchorId="7D77E586" wp14:editId="7BAD3219">
                  <wp:simplePos x="0" y="0"/>
                  <wp:positionH relativeFrom="column">
                    <wp:posOffset>69216</wp:posOffset>
                  </wp:positionH>
                  <wp:positionV relativeFrom="paragraph">
                    <wp:posOffset>63500</wp:posOffset>
                  </wp:positionV>
                  <wp:extent cx="1422400" cy="94234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22400" cy="942340"/>
                          </a:xfrm>
                          <a:prstGeom prst="rect">
                            <a:avLst/>
                          </a:prstGeom>
                          <a:ln/>
                        </pic:spPr>
                      </pic:pic>
                    </a:graphicData>
                  </a:graphic>
                </wp:anchor>
              </w:drawing>
            </w:r>
          </w:p>
        </w:tc>
      </w:tr>
      <w:tr w:rsidR="000A6052" w14:paraId="4AB2CDD6" w14:textId="77777777" w:rsidTr="51AA01F1">
        <w:tc>
          <w:tcPr>
            <w:tcW w:w="2065" w:type="dxa"/>
          </w:tcPr>
          <w:p w14:paraId="03BA1314" w14:textId="77777777" w:rsidR="000A6052" w:rsidRDefault="00E6057B">
            <w:pPr>
              <w:jc w:val="both"/>
              <w:rPr>
                <w:rFonts w:ascii="Calibri" w:eastAsia="Calibri" w:hAnsi="Calibri" w:cs="Calibri"/>
                <w:b/>
                <w:bCs/>
                <w:color w:val="31849B"/>
              </w:rPr>
            </w:pPr>
            <w:r>
              <w:rPr>
                <w:rFonts w:ascii="Calibri" w:eastAsia="Calibri" w:hAnsi="Calibri" w:cs="Calibri"/>
                <w:b/>
                <w:bCs/>
                <w:color w:val="31849B"/>
              </w:rPr>
              <w:t>AUTORIZADO POR:</w:t>
            </w:r>
          </w:p>
        </w:tc>
        <w:tc>
          <w:tcPr>
            <w:tcW w:w="4320" w:type="dxa"/>
          </w:tcPr>
          <w:p w14:paraId="147A8B35" w14:textId="77777777" w:rsidR="000A6052" w:rsidRDefault="00E6057B" w:rsidP="51AA01F1">
            <w:pPr>
              <w:jc w:val="both"/>
              <w:rPr>
                <w:rFonts w:ascii="Calibri" w:eastAsia="Calibri" w:hAnsi="Calibri" w:cs="Calibri"/>
                <w:b/>
                <w:bCs/>
                <w:color w:val="31849B"/>
                <w:lang w:val="es-ES"/>
              </w:rPr>
            </w:pPr>
            <w:r>
              <w:rPr>
                <w:rFonts w:ascii="Calibri" w:eastAsia="Calibri" w:hAnsi="Calibri" w:cs="Calibri"/>
                <w:b/>
                <w:bCs/>
                <w:color w:val="31849B" w:themeColor="accent5" w:themeShade="BF"/>
                <w:lang w:val="es-ES"/>
              </w:rPr>
              <w:t>Nallib Jodor H.</w:t>
            </w:r>
          </w:p>
          <w:p w14:paraId="3C3B38C9" w14:textId="77777777" w:rsidR="000A6052" w:rsidRDefault="00E6057B">
            <w:pPr>
              <w:jc w:val="both"/>
              <w:rPr>
                <w:rFonts w:ascii="Calibri" w:eastAsia="Calibri" w:hAnsi="Calibri" w:cs="Calibri"/>
                <w:color w:val="404040"/>
              </w:rPr>
            </w:pPr>
            <w:r>
              <w:rPr>
                <w:rFonts w:ascii="Calibri" w:eastAsia="Calibri" w:hAnsi="Calibri" w:cs="Calibri"/>
                <w:color w:val="404040"/>
              </w:rPr>
              <w:t>Gerente de Finanzas</w:t>
            </w:r>
          </w:p>
          <w:p w14:paraId="46FE4A44" w14:textId="77777777" w:rsidR="000A6052" w:rsidRDefault="00E6057B">
            <w:pPr>
              <w:jc w:val="both"/>
              <w:rPr>
                <w:rFonts w:ascii="Calibri" w:eastAsia="Calibri" w:hAnsi="Calibri" w:cs="Calibri"/>
                <w:color w:val="404040"/>
              </w:rPr>
            </w:pPr>
            <w:r>
              <w:rPr>
                <w:rFonts w:ascii="Calibri" w:eastAsia="Calibri" w:hAnsi="Calibri" w:cs="Calibri"/>
                <w:color w:val="404040"/>
              </w:rPr>
              <w:t>Gerencia de Finanzas MLP</w:t>
            </w:r>
          </w:p>
          <w:p w14:paraId="2473E4FA" w14:textId="77777777" w:rsidR="000A6052" w:rsidRDefault="00E6057B">
            <w:pPr>
              <w:jc w:val="both"/>
              <w:rPr>
                <w:rFonts w:ascii="Calibri" w:eastAsia="Calibri" w:hAnsi="Calibri" w:cs="Calibri"/>
                <w:color w:val="404040"/>
              </w:rPr>
            </w:pPr>
            <w:r>
              <w:rPr>
                <w:rFonts w:ascii="Calibri" w:eastAsia="Calibri" w:hAnsi="Calibri" w:cs="Calibri"/>
                <w:color w:val="404040"/>
              </w:rPr>
              <w:t>2026</w:t>
            </w:r>
          </w:p>
          <w:p w14:paraId="0D240F3C" w14:textId="77777777" w:rsidR="000A6052" w:rsidRDefault="000A6052">
            <w:pPr>
              <w:jc w:val="both"/>
              <w:rPr>
                <w:rFonts w:ascii="Calibri" w:eastAsia="Calibri" w:hAnsi="Calibri" w:cs="Calibri"/>
                <w:b/>
                <w:bCs/>
                <w:color w:val="31849B"/>
              </w:rPr>
            </w:pPr>
          </w:p>
        </w:tc>
        <w:tc>
          <w:tcPr>
            <w:tcW w:w="2160" w:type="dxa"/>
          </w:tcPr>
          <w:p w14:paraId="3B691E0E" w14:textId="77777777" w:rsidR="000A6052" w:rsidRDefault="00E6057B">
            <w:pPr>
              <w:jc w:val="both"/>
              <w:rPr>
                <w:rFonts w:ascii="Calibri" w:eastAsia="Calibri" w:hAnsi="Calibri" w:cs="Calibri"/>
                <w:b/>
                <w:bCs/>
                <w:color w:val="31849B"/>
              </w:rPr>
            </w:pPr>
            <w:r>
              <w:rPr>
                <w:rFonts w:ascii="Calibri" w:eastAsia="Calibri" w:hAnsi="Calibri" w:cs="Calibri"/>
                <w:b/>
                <w:bCs/>
                <w:color w:val="31849B"/>
              </w:rPr>
              <w:t>FIRMA:</w:t>
            </w:r>
          </w:p>
        </w:tc>
      </w:tr>
    </w:tbl>
    <w:p w14:paraId="488F60E9" w14:textId="77777777" w:rsidR="000A6052" w:rsidRDefault="000A6052">
      <w:pPr>
        <w:spacing w:after="120" w:line="264" w:lineRule="auto"/>
        <w:jc w:val="both"/>
        <w:rPr>
          <w:rFonts w:ascii="Calibri" w:eastAsia="Calibri" w:hAnsi="Calibri" w:cs="Calibri"/>
        </w:rPr>
      </w:pPr>
    </w:p>
    <w:p w14:paraId="3F85A023" w14:textId="77777777" w:rsidR="000A6052" w:rsidRDefault="000A6052">
      <w:pPr>
        <w:spacing w:after="120" w:line="264" w:lineRule="auto"/>
        <w:jc w:val="both"/>
        <w:rPr>
          <w:rFonts w:ascii="Calibri" w:eastAsia="Calibri" w:hAnsi="Calibri" w:cs="Calibri"/>
        </w:rPr>
      </w:pPr>
    </w:p>
    <w:p w14:paraId="045D4239" w14:textId="77777777" w:rsidR="000A6052" w:rsidRDefault="000A6052">
      <w:pPr>
        <w:spacing w:after="120" w:line="264" w:lineRule="auto"/>
        <w:jc w:val="both"/>
        <w:rPr>
          <w:rFonts w:ascii="Calibri" w:eastAsia="Calibri" w:hAnsi="Calibri" w:cs="Calibri"/>
          <w:b/>
          <w:bCs/>
        </w:rPr>
      </w:pPr>
    </w:p>
    <w:p w14:paraId="08C24094" w14:textId="77777777" w:rsidR="000A6052" w:rsidRDefault="000A6052">
      <w:pPr>
        <w:spacing w:after="120" w:line="264" w:lineRule="auto"/>
        <w:jc w:val="both"/>
        <w:rPr>
          <w:rFonts w:ascii="Calibri" w:eastAsia="Calibri" w:hAnsi="Calibri" w:cs="Calibri"/>
          <w:b/>
          <w:bCs/>
        </w:rPr>
      </w:pPr>
    </w:p>
    <w:p w14:paraId="1F342644" w14:textId="77777777" w:rsidR="000A6052" w:rsidRDefault="000A6052">
      <w:pPr>
        <w:spacing w:after="120" w:line="264" w:lineRule="auto"/>
        <w:jc w:val="both"/>
        <w:rPr>
          <w:rFonts w:ascii="Calibri" w:eastAsia="Calibri" w:hAnsi="Calibri" w:cs="Calibri"/>
          <w:b/>
          <w:bCs/>
        </w:rPr>
      </w:pPr>
    </w:p>
    <w:p w14:paraId="2EACB088" w14:textId="77777777" w:rsidR="000A6052" w:rsidRDefault="000A6052">
      <w:pPr>
        <w:spacing w:after="120" w:line="264" w:lineRule="auto"/>
        <w:jc w:val="both"/>
        <w:rPr>
          <w:rFonts w:ascii="Calibri" w:eastAsia="Calibri" w:hAnsi="Calibri" w:cs="Calibri"/>
          <w:b/>
          <w:bCs/>
        </w:rPr>
      </w:pPr>
    </w:p>
    <w:p w14:paraId="31FD233B" w14:textId="77777777" w:rsidR="000A6052" w:rsidRDefault="000A6052">
      <w:pPr>
        <w:spacing w:after="120" w:line="264" w:lineRule="auto"/>
        <w:jc w:val="both"/>
        <w:rPr>
          <w:rFonts w:ascii="Calibri" w:eastAsia="Calibri" w:hAnsi="Calibri" w:cs="Calibri"/>
          <w:b/>
          <w:bCs/>
        </w:rPr>
      </w:pPr>
    </w:p>
    <w:p w14:paraId="573D4F65" w14:textId="77777777" w:rsidR="000A6052" w:rsidRDefault="000A6052">
      <w:pPr>
        <w:spacing w:after="120" w:line="264" w:lineRule="auto"/>
        <w:jc w:val="both"/>
        <w:rPr>
          <w:rFonts w:ascii="Calibri" w:eastAsia="Calibri" w:hAnsi="Calibri" w:cs="Calibri"/>
          <w:b/>
          <w:bCs/>
        </w:rPr>
      </w:pPr>
    </w:p>
    <w:p w14:paraId="661BC209" w14:textId="77777777" w:rsidR="000A6052" w:rsidRDefault="000A6052">
      <w:pPr>
        <w:spacing w:after="120" w:line="264" w:lineRule="auto"/>
        <w:jc w:val="both"/>
        <w:rPr>
          <w:rFonts w:ascii="Calibri" w:eastAsia="Calibri" w:hAnsi="Calibri" w:cs="Calibri"/>
          <w:b/>
          <w:bCs/>
        </w:rPr>
      </w:pPr>
    </w:p>
    <w:p w14:paraId="51EFC622" w14:textId="77777777" w:rsidR="000A6052" w:rsidRDefault="00E6057B">
      <w:pPr>
        <w:spacing w:after="120" w:line="264" w:lineRule="auto"/>
        <w:jc w:val="both"/>
        <w:rPr>
          <w:rFonts w:ascii="Calibri" w:eastAsia="Calibri" w:hAnsi="Calibri" w:cs="Calibri"/>
          <w:b/>
          <w:bCs/>
          <w:color w:val="31849B"/>
        </w:rPr>
      </w:pPr>
      <w:r>
        <w:rPr>
          <w:rFonts w:ascii="Calibri" w:eastAsia="Calibri" w:hAnsi="Calibri" w:cs="Calibri"/>
          <w:b/>
          <w:bCs/>
          <w:color w:val="31849B"/>
        </w:rPr>
        <w:t>Control de Cambios</w:t>
      </w:r>
    </w:p>
    <w:tbl>
      <w:tblPr>
        <w:tblStyle w:val="a0"/>
        <w:tblW w:w="567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4"/>
        <w:gridCol w:w="2693"/>
        <w:gridCol w:w="1843"/>
      </w:tblGrid>
      <w:tr w:rsidR="000A6052" w14:paraId="6B02C3AC" w14:textId="77777777" w:rsidTr="000A6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690F1A5" w14:textId="77777777" w:rsidR="000A6052" w:rsidRDefault="00E6057B">
            <w:pPr>
              <w:jc w:val="center"/>
              <w:rPr>
                <w:rFonts w:ascii="Calibri" w:eastAsia="Calibri" w:hAnsi="Calibri" w:cs="Calibri"/>
                <w:color w:val="31849B"/>
              </w:rPr>
            </w:pPr>
            <w:bookmarkStart w:id="0" w:name="_kyl6azaafmoo" w:colFirst="0" w:colLast="0"/>
            <w:bookmarkEnd w:id="0"/>
            <w:r>
              <w:rPr>
                <w:rFonts w:ascii="Calibri" w:eastAsia="Calibri" w:hAnsi="Calibri" w:cs="Calibri"/>
                <w:color w:val="31849B"/>
              </w:rPr>
              <w:t>Versión</w:t>
            </w:r>
          </w:p>
        </w:tc>
        <w:tc>
          <w:tcPr>
            <w:tcW w:w="2693" w:type="dxa"/>
          </w:tcPr>
          <w:p w14:paraId="31934B57" w14:textId="77777777" w:rsidR="000A6052" w:rsidRDefault="00E6057B">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Detalle de la Modificación</w:t>
            </w:r>
          </w:p>
        </w:tc>
        <w:tc>
          <w:tcPr>
            <w:tcW w:w="1843" w:type="dxa"/>
          </w:tcPr>
          <w:p w14:paraId="7ABE20F1" w14:textId="77777777" w:rsidR="000A6052" w:rsidRDefault="00E6057B">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Fecha</w:t>
            </w:r>
          </w:p>
        </w:tc>
      </w:tr>
      <w:tr w:rsidR="000A6052" w14:paraId="490B60B6" w14:textId="77777777" w:rsidTr="000A6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4197CB7" w14:textId="77777777" w:rsidR="000A6052" w:rsidRDefault="00E6057B">
            <w:pPr>
              <w:jc w:val="center"/>
              <w:rPr>
                <w:rFonts w:ascii="Calibri" w:eastAsia="Calibri" w:hAnsi="Calibri" w:cs="Calibri"/>
              </w:rPr>
            </w:pPr>
            <w:r>
              <w:rPr>
                <w:rFonts w:ascii="Calibri" w:eastAsia="Calibri" w:hAnsi="Calibri" w:cs="Calibri"/>
              </w:rPr>
              <w:t>00</w:t>
            </w:r>
          </w:p>
        </w:tc>
        <w:tc>
          <w:tcPr>
            <w:tcW w:w="2693" w:type="dxa"/>
          </w:tcPr>
          <w:p w14:paraId="40D27397" w14:textId="77777777" w:rsidR="000A6052" w:rsidRDefault="00E6057B">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Publicación</w:t>
            </w:r>
          </w:p>
        </w:tc>
        <w:tc>
          <w:tcPr>
            <w:tcW w:w="1843" w:type="dxa"/>
          </w:tcPr>
          <w:p w14:paraId="64A92C0A" w14:textId="77777777" w:rsidR="000A6052" w:rsidRDefault="00E6057B">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Enero 2026</w:t>
            </w:r>
          </w:p>
        </w:tc>
      </w:tr>
    </w:tbl>
    <w:p w14:paraId="548A013B" w14:textId="77777777" w:rsidR="000A6052" w:rsidRDefault="000A6052">
      <w:pPr>
        <w:spacing w:after="120" w:line="264" w:lineRule="auto"/>
        <w:jc w:val="both"/>
        <w:rPr>
          <w:rFonts w:ascii="Calibri" w:eastAsia="Calibri" w:hAnsi="Calibri" w:cs="Calibri"/>
          <w:b/>
          <w:bCs/>
        </w:rPr>
      </w:pPr>
    </w:p>
    <w:p w14:paraId="4D5E097A" w14:textId="77777777" w:rsidR="000A6052" w:rsidRDefault="00E6057B">
      <w:pPr>
        <w:spacing w:after="120" w:line="264" w:lineRule="auto"/>
        <w:jc w:val="both"/>
        <w:rPr>
          <w:rFonts w:ascii="Calibri" w:eastAsia="Calibri" w:hAnsi="Calibri" w:cs="Calibri"/>
          <w:color w:val="31849B"/>
        </w:rPr>
      </w:pPr>
      <w:r>
        <w:rPr>
          <w:rFonts w:ascii="Calibri" w:eastAsia="Calibri" w:hAnsi="Calibri" w:cs="Calibri"/>
          <w:b/>
          <w:bCs/>
          <w:color w:val="31849B"/>
        </w:rPr>
        <w:t>Próxima Revisión</w:t>
      </w:r>
    </w:p>
    <w:tbl>
      <w:tblPr>
        <w:tblStyle w:val="a1"/>
        <w:tblW w:w="567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34"/>
        <w:gridCol w:w="2693"/>
        <w:gridCol w:w="1843"/>
      </w:tblGrid>
      <w:tr w:rsidR="000A6052" w14:paraId="7566483A" w14:textId="77777777" w:rsidTr="000A6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B9E6D61" w14:textId="77777777" w:rsidR="000A6052" w:rsidRDefault="00E6057B">
            <w:pPr>
              <w:jc w:val="center"/>
              <w:rPr>
                <w:rFonts w:ascii="Calibri" w:eastAsia="Calibri" w:hAnsi="Calibri" w:cs="Calibri"/>
                <w:color w:val="31849B"/>
              </w:rPr>
            </w:pPr>
            <w:r>
              <w:rPr>
                <w:rFonts w:ascii="Calibri" w:eastAsia="Calibri" w:hAnsi="Calibri" w:cs="Calibri"/>
                <w:color w:val="31849B"/>
              </w:rPr>
              <w:t>Versión</w:t>
            </w:r>
          </w:p>
        </w:tc>
        <w:tc>
          <w:tcPr>
            <w:tcW w:w="2693" w:type="dxa"/>
          </w:tcPr>
          <w:p w14:paraId="77D6F6D4" w14:textId="77777777" w:rsidR="000A6052" w:rsidRDefault="00E6057B">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Detalle de la Modificación</w:t>
            </w:r>
          </w:p>
        </w:tc>
        <w:tc>
          <w:tcPr>
            <w:tcW w:w="1843" w:type="dxa"/>
          </w:tcPr>
          <w:p w14:paraId="0CC825FE" w14:textId="77777777" w:rsidR="000A6052" w:rsidRDefault="00E6057B">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31849B"/>
              </w:rPr>
            </w:pPr>
            <w:r>
              <w:rPr>
                <w:rFonts w:ascii="Calibri" w:eastAsia="Calibri" w:hAnsi="Calibri" w:cs="Calibri"/>
                <w:color w:val="31849B"/>
              </w:rPr>
              <w:t>Fecha</w:t>
            </w:r>
          </w:p>
        </w:tc>
      </w:tr>
      <w:tr w:rsidR="000A6052" w14:paraId="27E90F0A" w14:textId="77777777" w:rsidTr="000A6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FEDD9CB" w14:textId="77777777" w:rsidR="000A6052" w:rsidRDefault="00E6057B">
            <w:pPr>
              <w:jc w:val="center"/>
              <w:rPr>
                <w:rFonts w:ascii="Calibri" w:eastAsia="Calibri" w:hAnsi="Calibri" w:cs="Calibri"/>
              </w:rPr>
            </w:pPr>
            <w:r>
              <w:rPr>
                <w:rFonts w:ascii="Calibri" w:eastAsia="Calibri" w:hAnsi="Calibri" w:cs="Calibri"/>
              </w:rPr>
              <w:t>01</w:t>
            </w:r>
          </w:p>
        </w:tc>
        <w:tc>
          <w:tcPr>
            <w:tcW w:w="2693" w:type="dxa"/>
          </w:tcPr>
          <w:p w14:paraId="12C94359" w14:textId="77777777" w:rsidR="000A6052" w:rsidRDefault="00E6057B">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Revisión</w:t>
            </w:r>
          </w:p>
        </w:tc>
        <w:tc>
          <w:tcPr>
            <w:tcW w:w="1843" w:type="dxa"/>
          </w:tcPr>
          <w:p w14:paraId="4E2977E3" w14:textId="77777777" w:rsidR="000A6052" w:rsidRDefault="00E6057B">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Enero 2027</w:t>
            </w:r>
          </w:p>
        </w:tc>
      </w:tr>
      <w:tr w:rsidR="000A6052" w14:paraId="137D17D4" w14:textId="77777777" w:rsidTr="000A6052">
        <w:tc>
          <w:tcPr>
            <w:cnfStyle w:val="001000000000" w:firstRow="0" w:lastRow="0" w:firstColumn="1" w:lastColumn="0" w:oddVBand="0" w:evenVBand="0" w:oddHBand="0" w:evenHBand="0" w:firstRowFirstColumn="0" w:firstRowLastColumn="0" w:lastRowFirstColumn="0" w:lastRowLastColumn="0"/>
            <w:tcW w:w="1134" w:type="dxa"/>
          </w:tcPr>
          <w:p w14:paraId="32F2C8BA" w14:textId="77777777" w:rsidR="000A6052" w:rsidRDefault="000A6052">
            <w:pPr>
              <w:jc w:val="both"/>
              <w:rPr>
                <w:rFonts w:ascii="Calibri" w:eastAsia="Calibri" w:hAnsi="Calibri" w:cs="Calibri"/>
              </w:rPr>
            </w:pPr>
          </w:p>
        </w:tc>
        <w:tc>
          <w:tcPr>
            <w:tcW w:w="2693" w:type="dxa"/>
          </w:tcPr>
          <w:p w14:paraId="270B5619" w14:textId="77777777" w:rsidR="000A6052" w:rsidRDefault="000A6052">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1843" w:type="dxa"/>
          </w:tcPr>
          <w:p w14:paraId="78F2BE57" w14:textId="77777777" w:rsidR="000A6052" w:rsidRDefault="000A6052">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bl>
    <w:p w14:paraId="4107DC2F" w14:textId="77777777" w:rsidR="000A6052" w:rsidRDefault="000A6052">
      <w:pPr>
        <w:pStyle w:val="Ttulo5"/>
        <w:spacing w:before="40" w:after="0"/>
        <w:ind w:left="2832" w:firstLine="708"/>
        <w:jc w:val="both"/>
        <w:rPr>
          <w:rFonts w:ascii="Calibri" w:eastAsia="Calibri" w:hAnsi="Calibri" w:cs="Calibri"/>
          <w:color w:val="000000"/>
        </w:rPr>
      </w:pPr>
    </w:p>
    <w:p w14:paraId="6596CB71" w14:textId="77777777" w:rsidR="000A6052" w:rsidRDefault="000A6052"/>
    <w:p w14:paraId="65079C1E" w14:textId="77777777" w:rsidR="000A6052" w:rsidRDefault="000A6052"/>
    <w:p w14:paraId="3A0EB655" w14:textId="77777777" w:rsidR="000A6052" w:rsidRDefault="000A6052"/>
    <w:p w14:paraId="10D2B86C" w14:textId="77777777" w:rsidR="00D7016D" w:rsidRDefault="00D7016D"/>
    <w:p w14:paraId="4E909D60" w14:textId="77777777" w:rsidR="00D7016D" w:rsidRDefault="00D7016D"/>
    <w:p w14:paraId="1391E45D" w14:textId="77777777" w:rsidR="00D7016D" w:rsidRDefault="00D7016D"/>
    <w:p w14:paraId="4C3B5170" w14:textId="77777777" w:rsidR="00F368DB" w:rsidRDefault="00F368DB"/>
    <w:p w14:paraId="13070777" w14:textId="77777777" w:rsidR="00D7016D" w:rsidRDefault="00D7016D" w:rsidP="00D7016D"/>
    <w:p w14:paraId="565B6138" w14:textId="77777777" w:rsidR="00D7016D" w:rsidRDefault="00D7016D" w:rsidP="00D7016D"/>
    <w:p w14:paraId="7BD3A650" w14:textId="323981A6" w:rsidR="000A6052" w:rsidRPr="00024C98" w:rsidRDefault="00E6057B" w:rsidP="00024C98">
      <w:pPr>
        <w:jc w:val="center"/>
        <w:rPr>
          <w:rFonts w:ascii="Calibri" w:hAnsi="Calibri" w:cs="Calibri"/>
          <w:b/>
          <w:bCs/>
          <w:color w:val="31849B"/>
          <w:sz w:val="40"/>
          <w:szCs w:val="40"/>
        </w:rPr>
      </w:pPr>
      <w:r>
        <w:rPr>
          <w:rFonts w:ascii="Calibri" w:hAnsi="Calibri" w:cs="Calibri"/>
          <w:b/>
          <w:bCs/>
          <w:color w:val="31849B"/>
          <w:sz w:val="40"/>
          <w:szCs w:val="40"/>
        </w:rPr>
        <w:lastRenderedPageBreak/>
        <w:t>ÍNDICE</w:t>
      </w:r>
    </w:p>
    <w:bookmarkStart w:id="1" w:name="_l7h4y5t5vqh" w:colFirst="0" w:colLast="0" w:displacedByCustomXml="next"/>
    <w:bookmarkEnd w:id="1" w:displacedByCustomXml="next"/>
    <w:sdt>
      <w:sdtPr>
        <w:rPr>
          <w:rFonts w:ascii="Arial" w:eastAsia="Arial" w:hAnsi="Arial" w:cs="Arial"/>
          <w:color w:val="auto"/>
          <w:sz w:val="22"/>
          <w:szCs w:val="22"/>
          <w:lang w:val="es-ES"/>
        </w:rPr>
        <w:id w:val="-482310904"/>
        <w:docPartObj>
          <w:docPartGallery w:val="Table of Contents"/>
          <w:docPartUnique/>
        </w:docPartObj>
      </w:sdtPr>
      <w:sdtEndPr>
        <w:rPr>
          <w:b/>
          <w:bCs/>
        </w:rPr>
      </w:sdtEndPr>
      <w:sdtContent>
        <w:p w14:paraId="52C1FE87" w14:textId="475D1296" w:rsidR="00D7016D" w:rsidRPr="0088586B" w:rsidRDefault="00D7016D">
          <w:pPr>
            <w:pStyle w:val="TtuloTDC"/>
            <w:rPr>
              <w:color w:val="auto"/>
            </w:rPr>
          </w:pPr>
        </w:p>
        <w:p w14:paraId="35EA095F" w14:textId="45AD6043" w:rsidR="00D368B9" w:rsidRDefault="00D701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24725683" w:history="1">
            <w:r>
              <w:rPr>
                <w:rStyle w:val="Hipervnculo"/>
                <w:rFonts w:asciiTheme="majorHAnsi" w:hAnsiTheme="majorHAnsi"/>
                <w:noProof/>
              </w:rPr>
              <w:t>1. Objetivo</w:t>
            </w:r>
            <w:r>
              <w:rPr>
                <w:noProof/>
                <w:webHidden/>
              </w:rPr>
              <w:tab/>
            </w:r>
            <w:r>
              <w:rPr>
                <w:noProof/>
                <w:webHidden/>
              </w:rPr>
              <w:fldChar w:fldCharType="begin"/>
            </w:r>
            <w:r>
              <w:rPr>
                <w:noProof/>
                <w:webHidden/>
              </w:rPr>
              <w:instrText xml:space="preserve"> PAGEREF _Toc224725683 \h </w:instrText>
            </w:r>
            <w:r>
              <w:rPr>
                <w:noProof/>
                <w:webHidden/>
              </w:rPr>
            </w:r>
            <w:r>
              <w:rPr>
                <w:noProof/>
                <w:webHidden/>
              </w:rPr>
              <w:fldChar w:fldCharType="separate"/>
            </w:r>
            <w:r>
              <w:rPr>
                <w:noProof/>
                <w:webHidden/>
              </w:rPr>
              <w:t>4</w:t>
            </w:r>
            <w:r>
              <w:rPr>
                <w:noProof/>
                <w:webHidden/>
              </w:rPr>
              <w:fldChar w:fldCharType="end"/>
            </w:r>
          </w:hyperlink>
        </w:p>
        <w:p w14:paraId="6E764864" w14:textId="2E090134" w:rsidR="00D368B9" w:rsidRDefault="00D368B9">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84" w:history="1">
            <w:r>
              <w:rPr>
                <w:rStyle w:val="Hipervnculo"/>
                <w:rFonts w:asciiTheme="majorHAnsi" w:hAnsiTheme="majorHAnsi"/>
                <w:noProof/>
              </w:rPr>
              <w:t>2. Alcance y aplicación</w:t>
            </w:r>
            <w:r>
              <w:rPr>
                <w:noProof/>
                <w:webHidden/>
              </w:rPr>
              <w:tab/>
            </w:r>
            <w:r>
              <w:rPr>
                <w:noProof/>
                <w:webHidden/>
              </w:rPr>
              <w:fldChar w:fldCharType="begin"/>
            </w:r>
            <w:r>
              <w:rPr>
                <w:noProof/>
                <w:webHidden/>
              </w:rPr>
              <w:instrText xml:space="preserve"> PAGEREF _Toc224725684 \h </w:instrText>
            </w:r>
            <w:r>
              <w:rPr>
                <w:noProof/>
                <w:webHidden/>
              </w:rPr>
            </w:r>
            <w:r>
              <w:rPr>
                <w:noProof/>
                <w:webHidden/>
              </w:rPr>
              <w:fldChar w:fldCharType="separate"/>
            </w:r>
            <w:r>
              <w:rPr>
                <w:noProof/>
                <w:webHidden/>
              </w:rPr>
              <w:t>4</w:t>
            </w:r>
            <w:r>
              <w:rPr>
                <w:noProof/>
                <w:webHidden/>
              </w:rPr>
              <w:fldChar w:fldCharType="end"/>
            </w:r>
          </w:hyperlink>
        </w:p>
        <w:p w14:paraId="4AC41E16" w14:textId="08233EE6" w:rsidR="00D368B9" w:rsidRDefault="00D368B9">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85" w:history="1">
            <w:r>
              <w:rPr>
                <w:rStyle w:val="Hipervnculo"/>
                <w:rFonts w:asciiTheme="majorHAnsi" w:hAnsiTheme="majorHAnsi"/>
                <w:noProof/>
              </w:rPr>
              <w:t>3. Roles y responsabilidades</w:t>
            </w:r>
            <w:r>
              <w:rPr>
                <w:noProof/>
                <w:webHidden/>
              </w:rPr>
              <w:tab/>
            </w:r>
            <w:r>
              <w:rPr>
                <w:noProof/>
                <w:webHidden/>
              </w:rPr>
              <w:fldChar w:fldCharType="begin"/>
            </w:r>
            <w:r>
              <w:rPr>
                <w:noProof/>
                <w:webHidden/>
              </w:rPr>
              <w:instrText xml:space="preserve"> PAGEREF _Toc224725685 \h </w:instrText>
            </w:r>
            <w:r>
              <w:rPr>
                <w:noProof/>
                <w:webHidden/>
              </w:rPr>
            </w:r>
            <w:r>
              <w:rPr>
                <w:noProof/>
                <w:webHidden/>
              </w:rPr>
              <w:fldChar w:fldCharType="separate"/>
            </w:r>
            <w:r>
              <w:rPr>
                <w:noProof/>
                <w:webHidden/>
              </w:rPr>
              <w:t>4</w:t>
            </w:r>
            <w:r>
              <w:rPr>
                <w:noProof/>
                <w:webHidden/>
              </w:rPr>
              <w:fldChar w:fldCharType="end"/>
            </w:r>
          </w:hyperlink>
        </w:p>
        <w:p w14:paraId="60C31246" w14:textId="26ADE9F3" w:rsidR="00D368B9" w:rsidRDefault="00D368B9">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86" w:history="1">
            <w:r>
              <w:rPr>
                <w:rStyle w:val="Hipervnculo"/>
                <w:rFonts w:asciiTheme="majorHAnsi" w:hAnsiTheme="majorHAnsi"/>
                <w:noProof/>
              </w:rPr>
              <w:t>4. Principios del análisis de productividad</w:t>
            </w:r>
            <w:r>
              <w:rPr>
                <w:noProof/>
                <w:webHidden/>
              </w:rPr>
              <w:tab/>
            </w:r>
            <w:r>
              <w:rPr>
                <w:noProof/>
                <w:webHidden/>
              </w:rPr>
              <w:fldChar w:fldCharType="begin"/>
            </w:r>
            <w:r>
              <w:rPr>
                <w:noProof/>
                <w:webHidden/>
              </w:rPr>
              <w:instrText xml:space="preserve"> PAGEREF _Toc224725686 \h </w:instrText>
            </w:r>
            <w:r>
              <w:rPr>
                <w:noProof/>
                <w:webHidden/>
              </w:rPr>
            </w:r>
            <w:r>
              <w:rPr>
                <w:noProof/>
                <w:webHidden/>
              </w:rPr>
              <w:fldChar w:fldCharType="separate"/>
            </w:r>
            <w:r>
              <w:rPr>
                <w:noProof/>
                <w:webHidden/>
              </w:rPr>
              <w:t>5</w:t>
            </w:r>
            <w:r>
              <w:rPr>
                <w:noProof/>
                <w:webHidden/>
              </w:rPr>
              <w:fldChar w:fldCharType="end"/>
            </w:r>
          </w:hyperlink>
        </w:p>
        <w:p w14:paraId="36A0F0EE" w14:textId="649D6CB8" w:rsidR="00D368B9" w:rsidRDefault="00D368B9">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87" w:history="1">
            <w:r>
              <w:rPr>
                <w:rStyle w:val="Hipervnculo"/>
                <w:rFonts w:asciiTheme="majorHAnsi" w:hAnsiTheme="majorHAnsi"/>
                <w:noProof/>
              </w:rPr>
              <w:t>5. Ejecución del análisis de productividad</w:t>
            </w:r>
            <w:r>
              <w:rPr>
                <w:noProof/>
                <w:webHidden/>
              </w:rPr>
              <w:tab/>
            </w:r>
            <w:r>
              <w:rPr>
                <w:noProof/>
                <w:webHidden/>
              </w:rPr>
              <w:fldChar w:fldCharType="begin"/>
            </w:r>
            <w:r>
              <w:rPr>
                <w:noProof/>
                <w:webHidden/>
              </w:rPr>
              <w:instrText xml:space="preserve"> PAGEREF _Toc224725687 \h </w:instrText>
            </w:r>
            <w:r>
              <w:rPr>
                <w:noProof/>
                <w:webHidden/>
              </w:rPr>
            </w:r>
            <w:r>
              <w:rPr>
                <w:noProof/>
                <w:webHidden/>
              </w:rPr>
              <w:fldChar w:fldCharType="separate"/>
            </w:r>
            <w:r>
              <w:rPr>
                <w:noProof/>
                <w:webHidden/>
              </w:rPr>
              <w:t>5</w:t>
            </w:r>
            <w:r>
              <w:rPr>
                <w:noProof/>
                <w:webHidden/>
              </w:rPr>
              <w:fldChar w:fldCharType="end"/>
            </w:r>
          </w:hyperlink>
        </w:p>
        <w:p w14:paraId="5747AAB5" w14:textId="467604C3"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88" w:history="1">
            <w:r>
              <w:rPr>
                <w:rStyle w:val="Hipervnculo"/>
                <w:rFonts w:asciiTheme="majorHAnsi" w:hAnsiTheme="majorHAnsi"/>
                <w:noProof/>
              </w:rPr>
              <w:t>5.1 Definición del alcance del diagnóstico</w:t>
            </w:r>
            <w:r>
              <w:rPr>
                <w:noProof/>
                <w:webHidden/>
              </w:rPr>
              <w:tab/>
            </w:r>
            <w:r>
              <w:rPr>
                <w:noProof/>
                <w:webHidden/>
              </w:rPr>
              <w:fldChar w:fldCharType="begin"/>
            </w:r>
            <w:r>
              <w:rPr>
                <w:noProof/>
                <w:webHidden/>
              </w:rPr>
              <w:instrText xml:space="preserve"> PAGEREF _Toc224725688 \h </w:instrText>
            </w:r>
            <w:r>
              <w:rPr>
                <w:noProof/>
                <w:webHidden/>
              </w:rPr>
            </w:r>
            <w:r>
              <w:rPr>
                <w:noProof/>
                <w:webHidden/>
              </w:rPr>
              <w:fldChar w:fldCharType="separate"/>
            </w:r>
            <w:r>
              <w:rPr>
                <w:noProof/>
                <w:webHidden/>
              </w:rPr>
              <w:t>6</w:t>
            </w:r>
            <w:r>
              <w:rPr>
                <w:noProof/>
                <w:webHidden/>
              </w:rPr>
              <w:fldChar w:fldCharType="end"/>
            </w:r>
          </w:hyperlink>
        </w:p>
        <w:p w14:paraId="736CD032" w14:textId="277955BB"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89" w:history="1">
            <w:r>
              <w:rPr>
                <w:rStyle w:val="Hipervnculo"/>
                <w:rFonts w:asciiTheme="majorHAnsi" w:hAnsiTheme="majorHAnsi"/>
                <w:noProof/>
              </w:rPr>
              <w:t>5.2 Levantamiento de la ejecución actual</w:t>
            </w:r>
            <w:r>
              <w:rPr>
                <w:noProof/>
                <w:webHidden/>
              </w:rPr>
              <w:tab/>
            </w:r>
            <w:r>
              <w:rPr>
                <w:noProof/>
                <w:webHidden/>
              </w:rPr>
              <w:fldChar w:fldCharType="begin"/>
            </w:r>
            <w:r>
              <w:rPr>
                <w:noProof/>
                <w:webHidden/>
              </w:rPr>
              <w:instrText xml:space="preserve"> PAGEREF _Toc224725689 \h </w:instrText>
            </w:r>
            <w:r>
              <w:rPr>
                <w:noProof/>
                <w:webHidden/>
              </w:rPr>
            </w:r>
            <w:r>
              <w:rPr>
                <w:noProof/>
                <w:webHidden/>
              </w:rPr>
              <w:fldChar w:fldCharType="separate"/>
            </w:r>
            <w:r>
              <w:rPr>
                <w:noProof/>
                <w:webHidden/>
              </w:rPr>
              <w:t>6</w:t>
            </w:r>
            <w:r>
              <w:rPr>
                <w:noProof/>
                <w:webHidden/>
              </w:rPr>
              <w:fldChar w:fldCharType="end"/>
            </w:r>
          </w:hyperlink>
        </w:p>
        <w:p w14:paraId="307C0454" w14:textId="0367E88B"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0" w:history="1">
            <w:r>
              <w:rPr>
                <w:rStyle w:val="Hipervnculo"/>
                <w:rFonts w:asciiTheme="majorHAnsi" w:hAnsiTheme="majorHAnsi"/>
                <w:noProof/>
              </w:rPr>
              <w:t>5.3 Medición de tiempos y clasificación de actividades (ToT)</w:t>
            </w:r>
            <w:r>
              <w:rPr>
                <w:noProof/>
                <w:webHidden/>
              </w:rPr>
              <w:tab/>
            </w:r>
            <w:r>
              <w:rPr>
                <w:noProof/>
                <w:webHidden/>
              </w:rPr>
              <w:fldChar w:fldCharType="begin"/>
            </w:r>
            <w:r>
              <w:rPr>
                <w:noProof/>
                <w:webHidden/>
              </w:rPr>
              <w:instrText xml:space="preserve"> PAGEREF _Toc224725690 \h </w:instrText>
            </w:r>
            <w:r>
              <w:rPr>
                <w:noProof/>
                <w:webHidden/>
              </w:rPr>
            </w:r>
            <w:r>
              <w:rPr>
                <w:noProof/>
                <w:webHidden/>
              </w:rPr>
              <w:fldChar w:fldCharType="separate"/>
            </w:r>
            <w:r>
              <w:rPr>
                <w:noProof/>
                <w:webHidden/>
              </w:rPr>
              <w:t>7</w:t>
            </w:r>
            <w:r>
              <w:rPr>
                <w:noProof/>
                <w:webHidden/>
              </w:rPr>
              <w:fldChar w:fldCharType="end"/>
            </w:r>
          </w:hyperlink>
        </w:p>
        <w:p w14:paraId="20BECF3A" w14:textId="694D6BE3"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1" w:history="1">
            <w:r>
              <w:rPr>
                <w:rStyle w:val="Hipervnculo"/>
                <w:rFonts w:asciiTheme="majorHAnsi" w:hAnsiTheme="majorHAnsi"/>
                <w:noProof/>
              </w:rPr>
              <w:t>5.4 Análisis de flujo y desperdicios de proceso</w:t>
            </w:r>
            <w:r>
              <w:rPr>
                <w:noProof/>
                <w:webHidden/>
              </w:rPr>
              <w:tab/>
            </w:r>
            <w:r>
              <w:rPr>
                <w:noProof/>
                <w:webHidden/>
              </w:rPr>
              <w:fldChar w:fldCharType="begin"/>
            </w:r>
            <w:r>
              <w:rPr>
                <w:noProof/>
                <w:webHidden/>
              </w:rPr>
              <w:instrText xml:space="preserve"> PAGEREF _Toc224725691 \h </w:instrText>
            </w:r>
            <w:r>
              <w:rPr>
                <w:noProof/>
                <w:webHidden/>
              </w:rPr>
            </w:r>
            <w:r>
              <w:rPr>
                <w:noProof/>
                <w:webHidden/>
              </w:rPr>
              <w:fldChar w:fldCharType="separate"/>
            </w:r>
            <w:r>
              <w:rPr>
                <w:noProof/>
                <w:webHidden/>
              </w:rPr>
              <w:t>8</w:t>
            </w:r>
            <w:r>
              <w:rPr>
                <w:noProof/>
                <w:webHidden/>
              </w:rPr>
              <w:fldChar w:fldCharType="end"/>
            </w:r>
          </w:hyperlink>
        </w:p>
        <w:p w14:paraId="5320AD33" w14:textId="1FFFAFC7"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2" w:history="1">
            <w:r>
              <w:rPr>
                <w:rStyle w:val="Hipervnculo"/>
                <w:rFonts w:asciiTheme="majorHAnsi" w:hAnsiTheme="majorHAnsi"/>
                <w:noProof/>
              </w:rPr>
              <w:t>5.5 Identificación de brechas de productividad</w:t>
            </w:r>
            <w:r>
              <w:rPr>
                <w:noProof/>
                <w:webHidden/>
              </w:rPr>
              <w:tab/>
            </w:r>
            <w:r>
              <w:rPr>
                <w:noProof/>
                <w:webHidden/>
              </w:rPr>
              <w:fldChar w:fldCharType="begin"/>
            </w:r>
            <w:r>
              <w:rPr>
                <w:noProof/>
                <w:webHidden/>
              </w:rPr>
              <w:instrText xml:space="preserve"> PAGEREF _Toc224725692 \h </w:instrText>
            </w:r>
            <w:r>
              <w:rPr>
                <w:noProof/>
                <w:webHidden/>
              </w:rPr>
            </w:r>
            <w:r>
              <w:rPr>
                <w:noProof/>
                <w:webHidden/>
              </w:rPr>
              <w:fldChar w:fldCharType="separate"/>
            </w:r>
            <w:r>
              <w:rPr>
                <w:noProof/>
                <w:webHidden/>
              </w:rPr>
              <w:t>8</w:t>
            </w:r>
            <w:r>
              <w:rPr>
                <w:noProof/>
                <w:webHidden/>
              </w:rPr>
              <w:fldChar w:fldCharType="end"/>
            </w:r>
          </w:hyperlink>
        </w:p>
        <w:p w14:paraId="27A16228" w14:textId="42D75AFE"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3" w:history="1">
            <w:r>
              <w:rPr>
                <w:rStyle w:val="Hipervnculo"/>
                <w:rFonts w:asciiTheme="majorHAnsi" w:hAnsiTheme="majorHAnsi"/>
                <w:noProof/>
              </w:rPr>
              <w:t>5.6 Determinación de causas directas y raíz</w:t>
            </w:r>
            <w:r>
              <w:rPr>
                <w:noProof/>
                <w:webHidden/>
              </w:rPr>
              <w:tab/>
            </w:r>
            <w:r>
              <w:rPr>
                <w:noProof/>
                <w:webHidden/>
              </w:rPr>
              <w:fldChar w:fldCharType="begin"/>
            </w:r>
            <w:r>
              <w:rPr>
                <w:noProof/>
                <w:webHidden/>
              </w:rPr>
              <w:instrText xml:space="preserve"> PAGEREF _Toc224725693 \h </w:instrText>
            </w:r>
            <w:r>
              <w:rPr>
                <w:noProof/>
                <w:webHidden/>
              </w:rPr>
            </w:r>
            <w:r>
              <w:rPr>
                <w:noProof/>
                <w:webHidden/>
              </w:rPr>
              <w:fldChar w:fldCharType="separate"/>
            </w:r>
            <w:r>
              <w:rPr>
                <w:noProof/>
                <w:webHidden/>
              </w:rPr>
              <w:t>8</w:t>
            </w:r>
            <w:r>
              <w:rPr>
                <w:noProof/>
                <w:webHidden/>
              </w:rPr>
              <w:fldChar w:fldCharType="end"/>
            </w:r>
          </w:hyperlink>
        </w:p>
        <w:p w14:paraId="753F7032" w14:textId="2778315E"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4" w:history="1">
            <w:r>
              <w:rPr>
                <w:rStyle w:val="Hipervnculo"/>
                <w:rFonts w:asciiTheme="majorHAnsi" w:hAnsiTheme="majorHAnsi"/>
                <w:noProof/>
              </w:rPr>
              <w:t>5.7 Definición de oportunidades de mejora</w:t>
            </w:r>
            <w:r>
              <w:rPr>
                <w:noProof/>
                <w:webHidden/>
              </w:rPr>
              <w:tab/>
            </w:r>
            <w:r>
              <w:rPr>
                <w:noProof/>
                <w:webHidden/>
              </w:rPr>
              <w:fldChar w:fldCharType="begin"/>
            </w:r>
            <w:r>
              <w:rPr>
                <w:noProof/>
                <w:webHidden/>
              </w:rPr>
              <w:instrText xml:space="preserve"> PAGEREF _Toc224725694 \h </w:instrText>
            </w:r>
            <w:r>
              <w:rPr>
                <w:noProof/>
                <w:webHidden/>
              </w:rPr>
            </w:r>
            <w:r>
              <w:rPr>
                <w:noProof/>
                <w:webHidden/>
              </w:rPr>
              <w:fldChar w:fldCharType="separate"/>
            </w:r>
            <w:r>
              <w:rPr>
                <w:noProof/>
                <w:webHidden/>
              </w:rPr>
              <w:t>8</w:t>
            </w:r>
            <w:r>
              <w:rPr>
                <w:noProof/>
                <w:webHidden/>
              </w:rPr>
              <w:fldChar w:fldCharType="end"/>
            </w:r>
          </w:hyperlink>
        </w:p>
        <w:p w14:paraId="1DC01BF0" w14:textId="39662596"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5" w:history="1">
            <w:r>
              <w:rPr>
                <w:rStyle w:val="Hipervnculo"/>
                <w:rFonts w:asciiTheme="majorHAnsi" w:hAnsiTheme="majorHAnsi"/>
                <w:noProof/>
              </w:rPr>
              <w:t>5.8 Revisión interna de consistencia del diagnóstico</w:t>
            </w:r>
            <w:r>
              <w:rPr>
                <w:noProof/>
                <w:webHidden/>
              </w:rPr>
              <w:tab/>
            </w:r>
            <w:r>
              <w:rPr>
                <w:noProof/>
                <w:webHidden/>
              </w:rPr>
              <w:fldChar w:fldCharType="begin"/>
            </w:r>
            <w:r>
              <w:rPr>
                <w:noProof/>
                <w:webHidden/>
              </w:rPr>
              <w:instrText xml:space="preserve"> PAGEREF _Toc224725695 \h </w:instrText>
            </w:r>
            <w:r>
              <w:rPr>
                <w:noProof/>
                <w:webHidden/>
              </w:rPr>
            </w:r>
            <w:r>
              <w:rPr>
                <w:noProof/>
                <w:webHidden/>
              </w:rPr>
              <w:fldChar w:fldCharType="separate"/>
            </w:r>
            <w:r>
              <w:rPr>
                <w:noProof/>
                <w:webHidden/>
              </w:rPr>
              <w:t>9</w:t>
            </w:r>
            <w:r>
              <w:rPr>
                <w:noProof/>
                <w:webHidden/>
              </w:rPr>
              <w:fldChar w:fldCharType="end"/>
            </w:r>
          </w:hyperlink>
        </w:p>
        <w:p w14:paraId="6DFC7DB5" w14:textId="4A66E580"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6" w:history="1">
            <w:r>
              <w:rPr>
                <w:rStyle w:val="Hipervnculo"/>
                <w:rFonts w:asciiTheme="majorHAnsi" w:hAnsiTheme="majorHAnsi"/>
                <w:noProof/>
              </w:rPr>
              <w:t>5.10 Clasificación y priorización de iniciativas</w:t>
            </w:r>
            <w:r>
              <w:rPr>
                <w:noProof/>
                <w:webHidden/>
              </w:rPr>
              <w:tab/>
            </w:r>
            <w:r>
              <w:rPr>
                <w:noProof/>
                <w:webHidden/>
              </w:rPr>
              <w:fldChar w:fldCharType="begin"/>
            </w:r>
            <w:r>
              <w:rPr>
                <w:noProof/>
                <w:webHidden/>
              </w:rPr>
              <w:instrText xml:space="preserve"> PAGEREF _Toc224725696 \h </w:instrText>
            </w:r>
            <w:r>
              <w:rPr>
                <w:noProof/>
                <w:webHidden/>
              </w:rPr>
            </w:r>
            <w:r>
              <w:rPr>
                <w:noProof/>
                <w:webHidden/>
              </w:rPr>
              <w:fldChar w:fldCharType="separate"/>
            </w:r>
            <w:r>
              <w:rPr>
                <w:noProof/>
                <w:webHidden/>
              </w:rPr>
              <w:t>9</w:t>
            </w:r>
            <w:r>
              <w:rPr>
                <w:noProof/>
                <w:webHidden/>
              </w:rPr>
              <w:fldChar w:fldCharType="end"/>
            </w:r>
          </w:hyperlink>
        </w:p>
        <w:p w14:paraId="0A6F7973" w14:textId="736014EE"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7" w:history="1">
            <w:r>
              <w:rPr>
                <w:rStyle w:val="Hipervnculo"/>
                <w:rFonts w:asciiTheme="majorHAnsi" w:hAnsiTheme="majorHAnsi"/>
                <w:noProof/>
              </w:rPr>
              <w:t>5.11 Formalización del diagnóstico oficial</w:t>
            </w:r>
            <w:r>
              <w:rPr>
                <w:noProof/>
                <w:webHidden/>
              </w:rPr>
              <w:tab/>
            </w:r>
            <w:r>
              <w:rPr>
                <w:noProof/>
                <w:webHidden/>
              </w:rPr>
              <w:fldChar w:fldCharType="begin"/>
            </w:r>
            <w:r>
              <w:rPr>
                <w:noProof/>
                <w:webHidden/>
              </w:rPr>
              <w:instrText xml:space="preserve"> PAGEREF _Toc224725697 \h </w:instrText>
            </w:r>
            <w:r>
              <w:rPr>
                <w:noProof/>
                <w:webHidden/>
              </w:rPr>
            </w:r>
            <w:r>
              <w:rPr>
                <w:noProof/>
                <w:webHidden/>
              </w:rPr>
              <w:fldChar w:fldCharType="separate"/>
            </w:r>
            <w:r>
              <w:rPr>
                <w:noProof/>
                <w:webHidden/>
              </w:rPr>
              <w:t>9</w:t>
            </w:r>
            <w:r>
              <w:rPr>
                <w:noProof/>
                <w:webHidden/>
              </w:rPr>
              <w:fldChar w:fldCharType="end"/>
            </w:r>
          </w:hyperlink>
        </w:p>
        <w:p w14:paraId="7192EB72" w14:textId="256F0B14" w:rsidR="00D368B9" w:rsidRDefault="00D368B9">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8" w:history="1">
            <w:r>
              <w:rPr>
                <w:rStyle w:val="Hipervnculo"/>
                <w:rFonts w:asciiTheme="majorHAnsi" w:hAnsiTheme="majorHAnsi"/>
                <w:noProof/>
              </w:rPr>
              <w:t>5.12 Emisión del informe y cierre formal</w:t>
            </w:r>
            <w:r>
              <w:rPr>
                <w:noProof/>
                <w:webHidden/>
              </w:rPr>
              <w:tab/>
            </w:r>
            <w:r>
              <w:rPr>
                <w:noProof/>
                <w:webHidden/>
              </w:rPr>
              <w:fldChar w:fldCharType="begin"/>
            </w:r>
            <w:r>
              <w:rPr>
                <w:noProof/>
                <w:webHidden/>
              </w:rPr>
              <w:instrText xml:space="preserve"> PAGEREF _Toc224725698 \h </w:instrText>
            </w:r>
            <w:r>
              <w:rPr>
                <w:noProof/>
                <w:webHidden/>
              </w:rPr>
            </w:r>
            <w:r>
              <w:rPr>
                <w:noProof/>
                <w:webHidden/>
              </w:rPr>
              <w:fldChar w:fldCharType="separate"/>
            </w:r>
            <w:r>
              <w:rPr>
                <w:noProof/>
                <w:webHidden/>
              </w:rPr>
              <w:t>10</w:t>
            </w:r>
            <w:r>
              <w:rPr>
                <w:noProof/>
                <w:webHidden/>
              </w:rPr>
              <w:fldChar w:fldCharType="end"/>
            </w:r>
          </w:hyperlink>
        </w:p>
        <w:p w14:paraId="2C5F56DF" w14:textId="5946EFCE" w:rsidR="00D368B9" w:rsidRDefault="00D368B9">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699" w:history="1">
            <w:r>
              <w:rPr>
                <w:rStyle w:val="Hipervnculo"/>
                <w:rFonts w:asciiTheme="majorHAnsi" w:hAnsiTheme="majorHAnsi"/>
                <w:noProof/>
              </w:rPr>
              <w:t>6. Validación y formalización del análisis</w:t>
            </w:r>
            <w:r>
              <w:rPr>
                <w:noProof/>
                <w:webHidden/>
              </w:rPr>
              <w:tab/>
            </w:r>
            <w:r>
              <w:rPr>
                <w:noProof/>
                <w:webHidden/>
              </w:rPr>
              <w:fldChar w:fldCharType="begin"/>
            </w:r>
            <w:r>
              <w:rPr>
                <w:noProof/>
                <w:webHidden/>
              </w:rPr>
              <w:instrText xml:space="preserve"> PAGEREF _Toc224725699 \h </w:instrText>
            </w:r>
            <w:r>
              <w:rPr>
                <w:noProof/>
                <w:webHidden/>
              </w:rPr>
            </w:r>
            <w:r>
              <w:rPr>
                <w:noProof/>
                <w:webHidden/>
              </w:rPr>
              <w:fldChar w:fldCharType="separate"/>
            </w:r>
            <w:r>
              <w:rPr>
                <w:noProof/>
                <w:webHidden/>
              </w:rPr>
              <w:t>10</w:t>
            </w:r>
            <w:r>
              <w:rPr>
                <w:noProof/>
                <w:webHidden/>
              </w:rPr>
              <w:fldChar w:fldCharType="end"/>
            </w:r>
          </w:hyperlink>
        </w:p>
        <w:p w14:paraId="60947690" w14:textId="41FE40AE" w:rsidR="00D368B9" w:rsidRDefault="00D368B9">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700" w:history="1">
            <w:r>
              <w:rPr>
                <w:rStyle w:val="Hipervnculo"/>
                <w:rFonts w:asciiTheme="majorHAnsi" w:hAnsiTheme="majorHAnsi"/>
                <w:noProof/>
              </w:rPr>
              <w:t>7. Registro y trazabilidad</w:t>
            </w:r>
            <w:r>
              <w:rPr>
                <w:noProof/>
                <w:webHidden/>
              </w:rPr>
              <w:tab/>
            </w:r>
            <w:r>
              <w:rPr>
                <w:noProof/>
                <w:webHidden/>
              </w:rPr>
              <w:fldChar w:fldCharType="begin"/>
            </w:r>
            <w:r>
              <w:rPr>
                <w:noProof/>
                <w:webHidden/>
              </w:rPr>
              <w:instrText xml:space="preserve"> PAGEREF _Toc224725700 \h </w:instrText>
            </w:r>
            <w:r>
              <w:rPr>
                <w:noProof/>
                <w:webHidden/>
              </w:rPr>
            </w:r>
            <w:r>
              <w:rPr>
                <w:noProof/>
                <w:webHidden/>
              </w:rPr>
              <w:fldChar w:fldCharType="separate"/>
            </w:r>
            <w:r>
              <w:rPr>
                <w:noProof/>
                <w:webHidden/>
              </w:rPr>
              <w:t>10</w:t>
            </w:r>
            <w:r>
              <w:rPr>
                <w:noProof/>
                <w:webHidden/>
              </w:rPr>
              <w:fldChar w:fldCharType="end"/>
            </w:r>
          </w:hyperlink>
        </w:p>
        <w:p w14:paraId="3A954C14" w14:textId="0571FB33" w:rsidR="00D368B9" w:rsidRDefault="00D368B9">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701" w:history="1">
            <w:r>
              <w:rPr>
                <w:rStyle w:val="Hipervnculo"/>
                <w:rFonts w:asciiTheme="majorHAnsi" w:hAnsiTheme="majorHAnsi"/>
                <w:noProof/>
              </w:rPr>
              <w:t>8. Relación con otros procesos</w:t>
            </w:r>
            <w:r>
              <w:rPr>
                <w:noProof/>
                <w:webHidden/>
              </w:rPr>
              <w:tab/>
            </w:r>
            <w:r>
              <w:rPr>
                <w:noProof/>
                <w:webHidden/>
              </w:rPr>
              <w:fldChar w:fldCharType="begin"/>
            </w:r>
            <w:r>
              <w:rPr>
                <w:noProof/>
                <w:webHidden/>
              </w:rPr>
              <w:instrText xml:space="preserve"> PAGEREF _Toc224725701 \h </w:instrText>
            </w:r>
            <w:r>
              <w:rPr>
                <w:noProof/>
                <w:webHidden/>
              </w:rPr>
            </w:r>
            <w:r>
              <w:rPr>
                <w:noProof/>
                <w:webHidden/>
              </w:rPr>
              <w:fldChar w:fldCharType="separate"/>
            </w:r>
            <w:r>
              <w:rPr>
                <w:noProof/>
                <w:webHidden/>
              </w:rPr>
              <w:t>10</w:t>
            </w:r>
            <w:r>
              <w:rPr>
                <w:noProof/>
                <w:webHidden/>
              </w:rPr>
              <w:fldChar w:fldCharType="end"/>
            </w:r>
          </w:hyperlink>
        </w:p>
        <w:p w14:paraId="0C9465F9" w14:textId="293C984E" w:rsidR="00D368B9" w:rsidRDefault="00D368B9">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702" w:history="1">
            <w:r>
              <w:rPr>
                <w:rStyle w:val="Hipervnculo"/>
                <w:rFonts w:asciiTheme="majorHAnsi" w:hAnsiTheme="majorHAnsi"/>
                <w:noProof/>
              </w:rPr>
              <w:t>9. Regla de no retroactividad</w:t>
            </w:r>
            <w:r>
              <w:rPr>
                <w:noProof/>
                <w:webHidden/>
              </w:rPr>
              <w:tab/>
            </w:r>
            <w:r>
              <w:rPr>
                <w:noProof/>
                <w:webHidden/>
              </w:rPr>
              <w:fldChar w:fldCharType="begin"/>
            </w:r>
            <w:r>
              <w:rPr>
                <w:noProof/>
                <w:webHidden/>
              </w:rPr>
              <w:instrText xml:space="preserve"> PAGEREF _Toc224725702 \h </w:instrText>
            </w:r>
            <w:r>
              <w:rPr>
                <w:noProof/>
                <w:webHidden/>
              </w:rPr>
            </w:r>
            <w:r>
              <w:rPr>
                <w:noProof/>
                <w:webHidden/>
              </w:rPr>
              <w:fldChar w:fldCharType="separate"/>
            </w:r>
            <w:r>
              <w:rPr>
                <w:noProof/>
                <w:webHidden/>
              </w:rPr>
              <w:t>11</w:t>
            </w:r>
            <w:r>
              <w:rPr>
                <w:noProof/>
                <w:webHidden/>
              </w:rPr>
              <w:fldChar w:fldCharType="end"/>
            </w:r>
          </w:hyperlink>
        </w:p>
        <w:p w14:paraId="3418B89B" w14:textId="16EFB2F4" w:rsidR="00D368B9" w:rsidRDefault="00D368B9">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4725703" w:history="1">
            <w:r>
              <w:rPr>
                <w:rStyle w:val="Hipervnculo"/>
                <w:rFonts w:asciiTheme="majorHAnsi" w:hAnsiTheme="majorHAnsi"/>
                <w:noProof/>
              </w:rPr>
              <w:t>10. Regla clave</w:t>
            </w:r>
            <w:r>
              <w:rPr>
                <w:noProof/>
                <w:webHidden/>
              </w:rPr>
              <w:tab/>
            </w:r>
            <w:r>
              <w:rPr>
                <w:noProof/>
                <w:webHidden/>
              </w:rPr>
              <w:fldChar w:fldCharType="begin"/>
            </w:r>
            <w:r>
              <w:rPr>
                <w:noProof/>
                <w:webHidden/>
              </w:rPr>
              <w:instrText xml:space="preserve"> PAGEREF _Toc224725703 \h </w:instrText>
            </w:r>
            <w:r>
              <w:rPr>
                <w:noProof/>
                <w:webHidden/>
              </w:rPr>
            </w:r>
            <w:r>
              <w:rPr>
                <w:noProof/>
                <w:webHidden/>
              </w:rPr>
              <w:fldChar w:fldCharType="separate"/>
            </w:r>
            <w:r>
              <w:rPr>
                <w:noProof/>
                <w:webHidden/>
              </w:rPr>
              <w:t>11</w:t>
            </w:r>
            <w:r>
              <w:rPr>
                <w:noProof/>
                <w:webHidden/>
              </w:rPr>
              <w:fldChar w:fldCharType="end"/>
            </w:r>
          </w:hyperlink>
        </w:p>
        <w:p w14:paraId="774E7015" w14:textId="336EE029" w:rsidR="00D7016D" w:rsidRDefault="00D7016D">
          <w:pPr>
            <w:rPr>
              <w:b/>
              <w:bCs/>
              <w:lang w:val="es-ES"/>
            </w:rPr>
          </w:pPr>
          <w:r>
            <w:rPr>
              <w:b/>
              <w:bCs/>
              <w:lang w:val="es-ES"/>
            </w:rPr>
            <w:fldChar w:fldCharType="end"/>
          </w:r>
        </w:p>
      </w:sdtContent>
    </w:sdt>
    <w:p w14:paraId="76300BA7" w14:textId="77777777" w:rsidR="003A09B5" w:rsidRDefault="003A09B5">
      <w:pPr>
        <w:rPr>
          <w:b/>
          <w:bCs/>
          <w:lang w:val="es-ES"/>
        </w:rPr>
      </w:pPr>
    </w:p>
    <w:p w14:paraId="15A55733" w14:textId="77777777" w:rsidR="003A09B5" w:rsidRDefault="003A09B5">
      <w:pPr>
        <w:rPr>
          <w:b/>
          <w:bCs/>
          <w:lang w:val="es-ES"/>
        </w:rPr>
      </w:pPr>
    </w:p>
    <w:p w14:paraId="331B5F86" w14:textId="77777777" w:rsidR="003A09B5" w:rsidRDefault="003A09B5">
      <w:pPr>
        <w:rPr>
          <w:b/>
          <w:bCs/>
          <w:lang w:val="es-ES"/>
        </w:rPr>
      </w:pPr>
    </w:p>
    <w:p w14:paraId="047D6005" w14:textId="77777777" w:rsidR="003A09B5" w:rsidRDefault="003A09B5">
      <w:pPr>
        <w:rPr>
          <w:b/>
          <w:bCs/>
          <w:lang w:val="es-ES"/>
        </w:rPr>
      </w:pPr>
    </w:p>
    <w:p w14:paraId="0B652D2A" w14:textId="77777777" w:rsidR="003A09B5" w:rsidRDefault="003A09B5">
      <w:pPr>
        <w:rPr>
          <w:b/>
          <w:bCs/>
          <w:lang w:val="es-ES"/>
        </w:rPr>
      </w:pPr>
    </w:p>
    <w:p w14:paraId="332C6C15" w14:textId="77777777" w:rsidR="003A09B5" w:rsidRDefault="003A09B5"/>
    <w:p w14:paraId="689245B0" w14:textId="77777777" w:rsidR="00D95800" w:rsidRDefault="00D95800"/>
    <w:p w14:paraId="603328BC" w14:textId="77777777" w:rsidR="00D95800" w:rsidRDefault="00D95800"/>
    <w:p w14:paraId="3CA9F80E" w14:textId="77777777" w:rsidR="00D95800" w:rsidRDefault="00D95800"/>
    <w:p w14:paraId="39BD34B5" w14:textId="77777777" w:rsidR="00D95800" w:rsidRDefault="00D95800"/>
    <w:p w14:paraId="1A9F17A4" w14:textId="2818F984" w:rsidR="000A6052" w:rsidRPr="0042511E" w:rsidRDefault="00E6057B" w:rsidP="00D95800">
      <w:pPr>
        <w:pStyle w:val="Ttulo1"/>
        <w:spacing w:line="240" w:lineRule="auto"/>
        <w:jc w:val="both"/>
        <w:rPr>
          <w:rFonts w:asciiTheme="majorHAnsi" w:hAnsiTheme="majorHAnsi"/>
          <w:color w:val="31849B" w:themeColor="accent5" w:themeShade="BF"/>
          <w:sz w:val="22"/>
          <w:szCs w:val="32"/>
        </w:rPr>
      </w:pPr>
      <w:bookmarkStart w:id="2" w:name="_Toc224725683"/>
      <w:r>
        <w:rPr>
          <w:rFonts w:asciiTheme="majorHAnsi" w:hAnsiTheme="majorHAnsi"/>
          <w:color w:val="31849B" w:themeColor="accent5" w:themeShade="BF"/>
          <w:sz w:val="22"/>
          <w:szCs w:val="32"/>
        </w:rPr>
        <w:lastRenderedPageBreak/>
        <w:t xml:space="preserve">1. </w:t>
      </w:r>
      <w:commentRangeStart w:id="3"/>
      <w:r>
        <w:rPr>
          <w:rFonts w:asciiTheme="majorHAnsi" w:hAnsiTheme="majorHAnsi"/>
          <w:color w:val="31849B" w:themeColor="accent5" w:themeShade="BF"/>
          <w:sz w:val="22"/>
          <w:szCs w:val="32"/>
        </w:rPr>
        <w:t>Objetivo</w:t>
      </w:r>
      <w:bookmarkEnd w:id="2"/>
      <w:commentRangeEnd w:id="3"/>
      <w:r w:rsidRPr="0042511E">
        <w:rPr>
          <w:rStyle w:val="Refdecomentario"/>
          <w:rFonts w:asciiTheme="majorHAnsi" w:hAnsiTheme="majorHAnsi"/>
          <w:color w:val="31849B" w:themeColor="accent5" w:themeShade="BF"/>
          <w:sz w:val="22"/>
          <w:szCs w:val="32"/>
        </w:rPr>
        <w:commentReference w:id="3"/>
      </w:r>
    </w:p>
    <w:p w14:paraId="28D419FD" w14:textId="1AA62699" w:rsidR="005405DA" w:rsidRPr="00D368B9" w:rsidRDefault="005405DA" w:rsidP="00D368B9">
      <w:pPr>
        <w:rPr>
          <w:rFonts w:asciiTheme="majorHAnsi" w:hAnsiTheme="majorHAnsi" w:cstheme="majorHAnsi"/>
          <w:lang w:val="es-ES"/>
        </w:rPr>
      </w:pPr>
      <w:r>
        <w:rPr>
          <w:rFonts w:asciiTheme="majorHAnsi" w:hAnsiTheme="majorHAnsi" w:cstheme="majorHAnsi"/>
          <w:lang w:val="es-ES"/>
        </w:rPr>
        <w:t>El presente instructivo tiene por objetivo establecer el marco metodológico para la ejecución del análisis de productividad de servicios terceros, mediante la medición de Time on Tools (ToT) y el análisis de proceso, asegurando un diagnóstico estructurado, trazable y basado en evidencia objetiva levantada en terreno.</w:t>
      </w:r>
    </w:p>
    <w:p w14:paraId="33653EF3" w14:textId="77777777" w:rsidR="005405DA" w:rsidRPr="00D368B9" w:rsidRDefault="005405DA" w:rsidP="00D368B9">
      <w:pPr>
        <w:rPr>
          <w:rFonts w:asciiTheme="majorHAnsi" w:hAnsiTheme="majorHAnsi" w:cstheme="majorHAnsi"/>
          <w:lang w:val="es-ES"/>
        </w:rPr>
      </w:pPr>
    </w:p>
    <w:p w14:paraId="4DEB7910" w14:textId="1706F168" w:rsidR="005405DA" w:rsidRPr="00D368B9" w:rsidRDefault="005405DA" w:rsidP="00D368B9">
      <w:pPr>
        <w:rPr>
          <w:rFonts w:asciiTheme="majorHAnsi" w:hAnsiTheme="majorHAnsi" w:cstheme="majorHAnsi"/>
          <w:lang w:val="es-ES"/>
        </w:rPr>
      </w:pPr>
      <w:r>
        <w:rPr>
          <w:rFonts w:asciiTheme="majorHAnsi" w:hAnsiTheme="majorHAnsi" w:cstheme="majorHAnsi"/>
          <w:lang w:val="es-ES"/>
        </w:rPr>
        <w:t>El análisis de productividad representa la instancia formal de diagnóstico de la ejecución operativa, permitiendo identificar brechas entre la productividad real y la esperada, cuantificar el tiempo efectivo en actividades productivas (ToT), detectar desperdicios en el flujo de proceso y determinar causas directas y raíz de las desviaciones observadas.</w:t>
      </w:r>
    </w:p>
    <w:p w14:paraId="284427B5" w14:textId="77777777" w:rsidR="005405DA" w:rsidRPr="00D368B9" w:rsidRDefault="005405DA" w:rsidP="00D368B9">
      <w:pPr>
        <w:rPr>
          <w:rFonts w:asciiTheme="majorHAnsi" w:hAnsiTheme="majorHAnsi" w:cstheme="majorHAnsi"/>
          <w:lang w:val="es-ES"/>
        </w:rPr>
      </w:pPr>
    </w:p>
    <w:p w14:paraId="03939610" w14:textId="2FB09320" w:rsidR="005405DA" w:rsidRPr="00D368B9" w:rsidRDefault="005405DA" w:rsidP="00D368B9">
      <w:pPr>
        <w:rPr>
          <w:rFonts w:asciiTheme="majorHAnsi" w:hAnsiTheme="majorHAnsi" w:cstheme="majorHAnsi"/>
          <w:lang w:val="es-ES"/>
        </w:rPr>
      </w:pPr>
      <w:r>
        <w:rPr>
          <w:rFonts w:asciiTheme="majorHAnsi" w:hAnsiTheme="majorHAnsi" w:cstheme="majorHAnsi"/>
          <w:lang w:val="es-ES"/>
        </w:rPr>
        <w:t>En este contexto, el análisis de productividad no solo cumple una función diagnóstica, sino que constituye una herramienta de gobernanza operacional que sustenta la toma de decisiones de mejora, la priorización de iniciativas y la definición de líneas base para la medición de resultados futuros.</w:t>
      </w:r>
    </w:p>
    <w:p w14:paraId="6EB8EF37" w14:textId="77777777" w:rsidR="005405DA" w:rsidRPr="00D368B9" w:rsidRDefault="005405DA" w:rsidP="00D368B9">
      <w:pPr>
        <w:rPr>
          <w:rFonts w:asciiTheme="majorHAnsi" w:hAnsiTheme="majorHAnsi" w:cstheme="majorHAnsi"/>
          <w:lang w:val="es-ES"/>
        </w:rPr>
      </w:pPr>
    </w:p>
    <w:p w14:paraId="35F66015" w14:textId="77777777" w:rsidR="005405DA" w:rsidRPr="00D368B9" w:rsidRDefault="005405DA" w:rsidP="00D368B9">
      <w:pPr>
        <w:rPr>
          <w:rFonts w:asciiTheme="majorHAnsi" w:hAnsiTheme="majorHAnsi" w:cstheme="majorHAnsi"/>
          <w:lang w:val="es-ES"/>
        </w:rPr>
      </w:pPr>
      <w:r>
        <w:rPr>
          <w:rFonts w:asciiTheme="majorHAnsi" w:hAnsiTheme="majorHAnsi" w:cstheme="majorHAnsi"/>
          <w:lang w:val="es-ES"/>
        </w:rPr>
        <w:t>Asimismo, el análisis de productividad se articula con el diagnóstico dotacional y el control de gestión de contratos, actuando como insumo para la elaboración de planes de mejora, la evaluación de desempeño de servicios terceros y la identificación de oportunidades de optimización operativa con base en datos objetivos.</w:t>
      </w:r>
    </w:p>
    <w:p w14:paraId="5FDCEE34" w14:textId="75075936" w:rsidR="000A6052" w:rsidRPr="0042511E" w:rsidRDefault="00E6057B" w:rsidP="005405DA">
      <w:pPr>
        <w:pStyle w:val="Ttulo1"/>
        <w:spacing w:line="240" w:lineRule="auto"/>
        <w:jc w:val="both"/>
        <w:rPr>
          <w:rFonts w:asciiTheme="majorHAnsi" w:hAnsiTheme="majorHAnsi"/>
          <w:color w:val="31849B" w:themeColor="accent5" w:themeShade="BF"/>
          <w:sz w:val="22"/>
          <w:szCs w:val="32"/>
        </w:rPr>
      </w:pPr>
      <w:bookmarkStart w:id="4" w:name="_Toc224725684"/>
      <w:commentRangeStart w:id="5"/>
      <w:commentRangeStart w:id="6"/>
      <w:commentRangeStart w:id="7"/>
      <w:r>
        <w:rPr>
          <w:rFonts w:asciiTheme="majorHAnsi" w:hAnsiTheme="majorHAnsi"/>
          <w:color w:val="31849B" w:themeColor="accent5" w:themeShade="BF"/>
          <w:sz w:val="22"/>
          <w:szCs w:val="32"/>
        </w:rPr>
        <w:t>2. Alcance y aplicación</w:t>
      </w:r>
      <w:bookmarkEnd w:id="4"/>
      <w:commentRangeEnd w:id="7"/>
      <w:r w:rsidRPr="0042511E">
        <w:rPr>
          <w:rStyle w:val="Refdecomentario"/>
          <w:rFonts w:asciiTheme="majorHAnsi" w:hAnsiTheme="majorHAnsi"/>
          <w:color w:val="31849B" w:themeColor="accent5" w:themeShade="BF"/>
          <w:sz w:val="22"/>
          <w:szCs w:val="32"/>
        </w:rPr>
        <w:commentReference w:id="7"/>
      </w:r>
      <w:commentRangeEnd w:id="6"/>
      <w:r w:rsidRPr="0042511E">
        <w:rPr>
          <w:rStyle w:val="Refdecomentario"/>
          <w:rFonts w:asciiTheme="majorHAnsi" w:hAnsiTheme="majorHAnsi"/>
          <w:color w:val="31849B" w:themeColor="accent5" w:themeShade="BF"/>
          <w:sz w:val="22"/>
          <w:szCs w:val="32"/>
        </w:rPr>
        <w:commentReference w:id="6"/>
      </w:r>
      <w:commentRangeEnd w:id="5"/>
      <w:r w:rsidRPr="0042511E">
        <w:rPr>
          <w:rStyle w:val="Refdecomentario"/>
          <w:rFonts w:asciiTheme="majorHAnsi" w:hAnsiTheme="majorHAnsi"/>
          <w:color w:val="31849B" w:themeColor="accent5" w:themeShade="BF"/>
          <w:sz w:val="22"/>
          <w:szCs w:val="32"/>
        </w:rPr>
        <w:commentReference w:id="5"/>
      </w:r>
    </w:p>
    <w:p w14:paraId="7963AA4A" w14:textId="77777777" w:rsidR="00EE17F7" w:rsidRPr="00EE17F7" w:rsidRDefault="00EE17F7" w:rsidP="00EE17F7">
      <w:pPr>
        <w:rPr>
          <w:rFonts w:asciiTheme="majorHAnsi" w:hAnsiTheme="majorHAnsi" w:cstheme="majorHAnsi"/>
          <w:lang w:val="es-CL"/>
        </w:rPr>
      </w:pPr>
      <w:r>
        <w:rPr>
          <w:rFonts w:asciiTheme="majorHAnsi" w:hAnsiTheme="majorHAnsi" w:cstheme="majorHAnsi"/>
          <w:lang w:val="es-CL"/>
        </w:rPr>
        <w:t>Este instructivo aplica al proceso de análisis de productividad de contratos de servicios terceros priorizados, con foco en procesos operativos susceptibles de medición en terreno mediante la metodología Time on Tools (ToT) y análisis de flujo de proceso.</w:t>
      </w:r>
    </w:p>
    <w:p w14:paraId="7F88D410" w14:textId="77777777" w:rsidR="00EE17F7" w:rsidRPr="00EE17F7" w:rsidRDefault="00EE17F7" w:rsidP="00EE17F7">
      <w:pPr>
        <w:rPr>
          <w:rFonts w:asciiTheme="majorHAnsi" w:hAnsiTheme="majorHAnsi" w:cstheme="majorHAnsi"/>
          <w:lang w:val="es-CL"/>
        </w:rPr>
      </w:pPr>
      <w:r>
        <w:rPr>
          <w:rFonts w:asciiTheme="majorHAnsi" w:hAnsiTheme="majorHAnsi" w:cstheme="majorHAnsi"/>
          <w:lang w:val="es-CL"/>
        </w:rPr>
        <w:t>El procedimiento considera la consolidación de la dotación ejecutada en contratos vigentes y en operación, incluyendo las distintas categorías de dotación definidas por la compañía, tales como:</w:t>
      </w:r>
    </w:p>
    <w:p w14:paraId="3F3C5B54" w14:textId="147023BD" w:rsidR="00EE17F7" w:rsidRPr="00EE17F7" w:rsidRDefault="00EE17F7" w:rsidP="00EE17F7">
      <w:pPr>
        <w:numPr>
          <w:ilvl w:val="0"/>
          <w:numId w:val="10"/>
        </w:numPr>
        <w:rPr>
          <w:rFonts w:asciiTheme="majorHAnsi" w:hAnsiTheme="majorHAnsi" w:cstheme="majorHAnsi"/>
          <w:lang w:val="es-CL"/>
        </w:rPr>
      </w:pPr>
      <w:r>
        <w:rPr>
          <w:rFonts w:asciiTheme="majorHAnsi" w:hAnsiTheme="majorHAnsi" w:cstheme="majorHAnsi"/>
          <w:lang w:val="es-CL"/>
        </w:rPr>
        <w:t>Contratos priorizados en proceso de mejora</w:t>
      </w:r>
    </w:p>
    <w:p w14:paraId="0988868D" w14:textId="01752843" w:rsidR="00EE17F7" w:rsidRPr="00EE17F7" w:rsidRDefault="00EE17F7" w:rsidP="00EE17F7">
      <w:pPr>
        <w:numPr>
          <w:ilvl w:val="0"/>
          <w:numId w:val="10"/>
        </w:numPr>
        <w:rPr>
          <w:rFonts w:asciiTheme="majorHAnsi" w:hAnsiTheme="majorHAnsi" w:cstheme="majorHAnsi"/>
          <w:lang w:val="es-CL"/>
        </w:rPr>
      </w:pPr>
      <w:r>
        <w:rPr>
          <w:rFonts w:asciiTheme="majorHAnsi" w:hAnsiTheme="majorHAnsi" w:cstheme="majorHAnsi"/>
          <w:lang w:val="es-CL"/>
        </w:rPr>
        <w:t>Servicios con foco en productividad (FTE / tiempo / costo)</w:t>
      </w:r>
    </w:p>
    <w:p w14:paraId="559E8B50" w14:textId="523F4C84" w:rsidR="00EE17F7" w:rsidRPr="00EE17F7" w:rsidRDefault="00EE17F7" w:rsidP="00EE17F7">
      <w:pPr>
        <w:numPr>
          <w:ilvl w:val="0"/>
          <w:numId w:val="10"/>
        </w:numPr>
        <w:rPr>
          <w:rFonts w:asciiTheme="majorHAnsi" w:hAnsiTheme="majorHAnsi" w:cstheme="majorHAnsi"/>
          <w:lang w:val="es-CL"/>
        </w:rPr>
      </w:pPr>
      <w:r>
        <w:rPr>
          <w:rFonts w:asciiTheme="majorHAnsi" w:hAnsiTheme="majorHAnsi" w:cstheme="majorHAnsi"/>
          <w:lang w:val="es-CL"/>
        </w:rPr>
        <w:t>Procesos operativos repetitivos medibles en terreno</w:t>
      </w:r>
    </w:p>
    <w:p w14:paraId="3E536FD4" w14:textId="505B8AAF" w:rsidR="00EE17F7" w:rsidRPr="00EE17F7" w:rsidRDefault="00EE17F7" w:rsidP="00EE17F7">
      <w:pPr>
        <w:numPr>
          <w:ilvl w:val="0"/>
          <w:numId w:val="10"/>
        </w:numPr>
        <w:rPr>
          <w:rFonts w:asciiTheme="majorHAnsi" w:hAnsiTheme="majorHAnsi" w:cstheme="majorHAnsi"/>
          <w:lang w:val="es-CL"/>
        </w:rPr>
      </w:pPr>
      <w:r>
        <w:rPr>
          <w:rFonts w:asciiTheme="majorHAnsi" w:hAnsiTheme="majorHAnsi" w:cstheme="majorHAnsi"/>
          <w:lang w:val="es-CL"/>
        </w:rPr>
        <w:t>Análisis de soporte (logística, materiales, coordinación)</w:t>
      </w:r>
    </w:p>
    <w:p w14:paraId="21F5E3D8" w14:textId="77777777" w:rsidR="00EE17F7" w:rsidRPr="00EE17F7" w:rsidRDefault="00EE17F7" w:rsidP="00EE17F7">
      <w:pPr>
        <w:rPr>
          <w:rFonts w:asciiTheme="majorHAnsi" w:hAnsiTheme="majorHAnsi" w:cstheme="majorHAnsi"/>
          <w:lang w:val="es-CL"/>
        </w:rPr>
      </w:pPr>
      <w:r>
        <w:rPr>
          <w:rFonts w:asciiTheme="majorHAnsi" w:hAnsiTheme="majorHAnsi" w:cstheme="majorHAnsi"/>
          <w:lang w:val="es-CL"/>
        </w:rPr>
        <w:t>El análisis considera la ejecución real del servicio observada en terreno, incluyendo la clasificación de actividades según su naturaleza productiva, ocasional o de búsqueda de oportunidad, y la identificación de desperdicios y restricciones en el flujo de proceso.</w:t>
      </w:r>
    </w:p>
    <w:p w14:paraId="2A374969" w14:textId="77777777" w:rsidR="00EE17F7" w:rsidRPr="0088586B" w:rsidRDefault="00EE17F7" w:rsidP="00EE17F7">
      <w:pPr>
        <w:rPr>
          <w:rFonts w:asciiTheme="majorHAnsi" w:hAnsiTheme="majorHAnsi" w:cstheme="majorHAnsi"/>
        </w:rPr>
      </w:pPr>
    </w:p>
    <w:p w14:paraId="27584E26" w14:textId="7598F8FC" w:rsidR="000A6052" w:rsidRPr="0088586B" w:rsidRDefault="00166E2D" w:rsidP="51AA01F1">
      <w:pPr>
        <w:spacing w:line="240" w:lineRule="auto"/>
        <w:jc w:val="both"/>
        <w:rPr>
          <w:rFonts w:asciiTheme="majorHAnsi" w:eastAsia="Calibri" w:hAnsiTheme="majorHAnsi" w:cstheme="majorHAnsi"/>
          <w:lang w:val="es-ES"/>
        </w:rPr>
      </w:pPr>
      <w:r>
        <w:rPr>
          <w:rFonts w:asciiTheme="majorHAnsi" w:eastAsia="Calibri" w:hAnsiTheme="majorHAnsi" w:cstheme="majorHAnsi"/>
          <w:lang w:val="es-ES"/>
        </w:rPr>
        <w:t>El diagnóstico aplica a los contratos en que GST haya priorizado el proceso de mejora de productividad conforme a los criterios de selección definidos por la Superintendencia de GST.</w:t>
      </w:r>
    </w:p>
    <w:p w14:paraId="783316D6" w14:textId="77777777" w:rsidR="000A6052" w:rsidRDefault="00E6057B">
      <w:pPr>
        <w:spacing w:line="240" w:lineRule="auto"/>
        <w:jc w:val="both"/>
        <w:rPr>
          <w:rFonts w:asciiTheme="majorHAnsi" w:eastAsia="Calibri" w:hAnsiTheme="majorHAnsi" w:cstheme="majorHAnsi"/>
        </w:rPr>
      </w:pPr>
      <w:r>
        <w:rPr>
          <w:rFonts w:asciiTheme="majorHAnsi" w:eastAsia="Calibri" w:hAnsiTheme="majorHAnsi" w:cstheme="majorHAnsi"/>
        </w:rPr>
        <w:t>No aplica a procesos no medibles en terreno, análisis estratégicos sin medición operativa ni evaluaciones sin acceso a la operación real.</w:t>
      </w:r>
    </w:p>
    <w:p w14:paraId="0BB3DCD7" w14:textId="77777777" w:rsidR="00591E00" w:rsidRPr="0088586B" w:rsidRDefault="00591E00">
      <w:pPr>
        <w:spacing w:line="240" w:lineRule="auto"/>
        <w:jc w:val="both"/>
        <w:rPr>
          <w:rFonts w:asciiTheme="majorHAnsi" w:eastAsia="Calibri" w:hAnsiTheme="majorHAnsi" w:cstheme="majorHAnsi"/>
        </w:rPr>
      </w:pPr>
    </w:p>
    <w:p w14:paraId="5B000874" w14:textId="5D27DD85" w:rsidR="000A6052" w:rsidRPr="00591E00" w:rsidRDefault="00E6057B" w:rsidP="00D95800">
      <w:pPr>
        <w:pStyle w:val="Ttulo1"/>
        <w:spacing w:line="240" w:lineRule="auto"/>
        <w:jc w:val="both"/>
        <w:rPr>
          <w:rFonts w:asciiTheme="majorHAnsi" w:hAnsiTheme="majorHAnsi"/>
          <w:color w:val="31849B" w:themeColor="accent5" w:themeShade="BF"/>
          <w:sz w:val="22"/>
          <w:szCs w:val="32"/>
        </w:rPr>
      </w:pPr>
      <w:bookmarkStart w:id="8" w:name="_Toc224725685"/>
      <w:r>
        <w:rPr>
          <w:rFonts w:asciiTheme="majorHAnsi" w:hAnsiTheme="majorHAnsi"/>
          <w:color w:val="31849B" w:themeColor="accent5" w:themeShade="BF"/>
          <w:sz w:val="22"/>
          <w:szCs w:val="32"/>
        </w:rPr>
        <w:t>3. Roles y responsabilidades</w:t>
      </w:r>
      <w:bookmarkEnd w:id="8"/>
    </w:p>
    <w:p w14:paraId="2B512C86" w14:textId="3C3E8D8B" w:rsidR="000A6052" w:rsidRPr="0088586B" w:rsidRDefault="00E6057B" w:rsidP="51AA01F1">
      <w:pPr>
        <w:spacing w:before="240" w:after="240" w:line="240" w:lineRule="auto"/>
        <w:jc w:val="both"/>
        <w:rPr>
          <w:rFonts w:asciiTheme="majorHAnsi" w:eastAsia="Calibri" w:hAnsiTheme="majorHAnsi" w:cstheme="majorHAnsi"/>
          <w:lang w:val="es-ES"/>
        </w:rPr>
      </w:pPr>
      <w:r>
        <w:rPr>
          <w:rFonts w:asciiTheme="majorHAnsi" w:eastAsia="Calibri" w:hAnsiTheme="majorHAnsi" w:cstheme="majorHAnsi"/>
          <w:lang w:val="es-ES"/>
        </w:rPr>
        <w:t xml:space="preserve">GST es responsable de liderar el proceso de análisis de productividad, definir el alcance del diagnóstico, coordinar el levantamiento en terreno, validar los datos obtenidos, ejecutar el análisis de </w:t>
      </w:r>
      <w:r>
        <w:rPr>
          <w:rFonts w:asciiTheme="majorHAnsi" w:eastAsia="Calibri" w:hAnsiTheme="majorHAnsi" w:cstheme="majorHAnsi"/>
          <w:lang w:val="es-ES"/>
        </w:rPr>
        <w:lastRenderedPageBreak/>
        <w:t>proceso y elaborar el informe de diagnóstico con las brechas, causas y oportunidades de mejora identificadas.</w:t>
      </w:r>
    </w:p>
    <w:p w14:paraId="6425D71C" w14:textId="77777777" w:rsidR="000A6052" w:rsidRPr="0088586B" w:rsidRDefault="00E6057B" w:rsidP="51AA01F1">
      <w:pPr>
        <w:spacing w:before="240" w:after="240" w:line="240" w:lineRule="auto"/>
        <w:jc w:val="both"/>
        <w:rPr>
          <w:rFonts w:asciiTheme="majorHAnsi" w:eastAsia="Calibri" w:hAnsiTheme="majorHAnsi" w:cstheme="majorHAnsi"/>
          <w:lang w:val="es-ES"/>
        </w:rPr>
      </w:pPr>
      <w:r>
        <w:rPr>
          <w:rFonts w:asciiTheme="majorHAnsi" w:eastAsia="Calibri" w:hAnsiTheme="majorHAnsi" w:cstheme="majorHAnsi"/>
          <w:lang w:val="es-ES"/>
        </w:rPr>
        <w:t>El AdC MLP es responsable de coordinar el levantamiento en terreno junto a GST, facilitar el acceso a las operaciones observadas, validar la información desde la perspectiva contractual y operacional, y asegurar que los datos registrados representen fielmente las condiciones reales de ejecución del servicio.</w:t>
      </w:r>
    </w:p>
    <w:p w14:paraId="7B0A63C8" w14:textId="70D18665" w:rsidR="000A6052" w:rsidRPr="0088586B" w:rsidRDefault="00E6057B" w:rsidP="00EC5B8D">
      <w:pPr>
        <w:spacing w:before="240" w:after="240" w:line="240" w:lineRule="auto"/>
        <w:jc w:val="both"/>
        <w:rPr>
          <w:rFonts w:asciiTheme="majorHAnsi" w:eastAsia="Calibri" w:hAnsiTheme="majorHAnsi" w:cstheme="majorHAnsi"/>
        </w:rPr>
      </w:pPr>
      <w:r>
        <w:rPr>
          <w:rFonts w:asciiTheme="majorHAnsi" w:eastAsia="Calibri" w:hAnsiTheme="majorHAnsi" w:cstheme="majorHAnsi"/>
        </w:rPr>
        <w:t>ATOS es responsable de ejecutar la medición de tiempos en terreno conforme a la metodología definida, asegurando que las observaciones sean representativas de las condiciones normales de operación, con muestra suficiente y sin ajuste manual de los datos registrados. La definición de causas raíz se realiza en conjunto por un equipo multidisciplinario integrado por GST, AdC y ATOS.</w:t>
      </w:r>
    </w:p>
    <w:p w14:paraId="28F27B4B" w14:textId="5E689C50" w:rsidR="001F11E9" w:rsidRPr="00D368B9" w:rsidRDefault="00E6057B" w:rsidP="00D368B9">
      <w:pPr>
        <w:pStyle w:val="Ttulo1"/>
        <w:spacing w:before="0" w:line="240" w:lineRule="auto"/>
        <w:jc w:val="both"/>
        <w:rPr>
          <w:rFonts w:asciiTheme="majorHAnsi" w:hAnsiTheme="majorHAnsi"/>
          <w:color w:val="31849B" w:themeColor="accent5" w:themeShade="BF"/>
          <w:sz w:val="22"/>
          <w:szCs w:val="32"/>
        </w:rPr>
      </w:pPr>
      <w:bookmarkStart w:id="9" w:name="_Toc224725686"/>
      <w:r>
        <w:rPr>
          <w:rFonts w:asciiTheme="majorHAnsi" w:hAnsiTheme="majorHAnsi"/>
          <w:color w:val="31849B" w:themeColor="accent5" w:themeShade="BF"/>
          <w:sz w:val="22"/>
          <w:szCs w:val="32"/>
        </w:rPr>
        <w:t>4. Principios del análisis de productividad</w:t>
      </w:r>
      <w:bookmarkEnd w:id="9"/>
    </w:p>
    <w:p w14:paraId="738059A7" w14:textId="52CB64E9" w:rsidR="0095323F" w:rsidRPr="00D368B9" w:rsidRDefault="0095323F" w:rsidP="00D368B9">
      <w:pPr>
        <w:rPr>
          <w:rFonts w:asciiTheme="majorHAnsi" w:hAnsiTheme="majorHAnsi" w:cstheme="majorHAnsi"/>
          <w:lang w:val="es-CL"/>
        </w:rPr>
      </w:pPr>
      <w:r>
        <w:rPr>
          <w:rFonts w:asciiTheme="majorHAnsi" w:hAnsiTheme="majorHAnsi" w:cstheme="majorHAnsi"/>
          <w:lang w:val="es-CL"/>
        </w:rPr>
        <w:t>El análisis de productividad se basa en la medición objetiva y estructurada de la ejecución operativa real, obtenida directamente en terreno mediante observación sistemática y registro de tiempos.</w:t>
      </w:r>
    </w:p>
    <w:p w14:paraId="710D7D6B" w14:textId="6378669A" w:rsidR="0095323F" w:rsidRPr="00D368B9" w:rsidRDefault="0095323F" w:rsidP="00D368B9">
      <w:pPr>
        <w:rPr>
          <w:rFonts w:asciiTheme="majorHAnsi" w:hAnsiTheme="majorHAnsi" w:cstheme="majorHAnsi"/>
          <w:lang w:val="es-CL"/>
        </w:rPr>
      </w:pPr>
      <w:r>
        <w:rPr>
          <w:rFonts w:asciiTheme="majorHAnsi" w:hAnsiTheme="majorHAnsi" w:cstheme="majorHAnsi"/>
          <w:lang w:val="es-CL"/>
        </w:rPr>
        <w:t>Para efectos del análisis, la información se obtiene mediante tres metodologías complementarias:</w:t>
      </w:r>
    </w:p>
    <w:p w14:paraId="4A3AE7C2" w14:textId="77777777" w:rsidR="001F11E9" w:rsidRPr="00D368B9" w:rsidRDefault="001F11E9" w:rsidP="00D368B9">
      <w:pPr>
        <w:rPr>
          <w:rFonts w:asciiTheme="majorHAnsi" w:hAnsiTheme="majorHAnsi" w:cstheme="majorHAnsi"/>
          <w:lang w:val="es-CL"/>
        </w:rPr>
      </w:pPr>
    </w:p>
    <w:p w14:paraId="2D915BD2" w14:textId="77777777" w:rsidR="0095323F" w:rsidRPr="00D368B9" w:rsidRDefault="0095323F" w:rsidP="00D368B9">
      <w:pPr>
        <w:rPr>
          <w:rFonts w:asciiTheme="majorHAnsi" w:hAnsiTheme="majorHAnsi" w:cstheme="majorHAnsi"/>
          <w:lang w:val="es-CL"/>
        </w:rPr>
      </w:pPr>
      <w:r>
        <w:rPr>
          <w:rFonts w:asciiTheme="majorHAnsi" w:hAnsiTheme="majorHAnsi" w:cstheme="majorHAnsi"/>
          <w:lang w:val="es-CL"/>
        </w:rPr>
        <w:t>• Medición de Time on Tools (ToT), que cuantifica el tiempo efectivo dedicado a actividades productivas respecto del tiempo total disponible.</w:t>
      </w:r>
    </w:p>
    <w:p w14:paraId="3C7C5B22" w14:textId="77777777" w:rsidR="0095323F" w:rsidRPr="00D368B9" w:rsidRDefault="0095323F" w:rsidP="00D368B9">
      <w:pPr>
        <w:rPr>
          <w:rFonts w:asciiTheme="majorHAnsi" w:hAnsiTheme="majorHAnsi" w:cstheme="majorHAnsi"/>
          <w:lang w:val="es-CL"/>
        </w:rPr>
      </w:pPr>
      <w:r>
        <w:rPr>
          <w:rFonts w:asciiTheme="majorHAnsi" w:hAnsiTheme="majorHAnsi" w:cstheme="majorHAnsi"/>
          <w:lang w:val="es-CL"/>
        </w:rPr>
        <w:t>• Análisis de flujo de proceso, que permite identificar desperdicios, restricciones y actividades de bajo valor agregado en la cadena operativa.</w:t>
      </w:r>
    </w:p>
    <w:p w14:paraId="4DD01588" w14:textId="0F7BB7BD" w:rsidR="0095323F" w:rsidRPr="00D368B9" w:rsidRDefault="0095323F" w:rsidP="00D368B9">
      <w:pPr>
        <w:rPr>
          <w:rFonts w:asciiTheme="majorHAnsi" w:hAnsiTheme="majorHAnsi" w:cstheme="majorHAnsi"/>
          <w:lang w:val="es-CL"/>
        </w:rPr>
      </w:pPr>
      <w:r>
        <w:rPr>
          <w:rFonts w:asciiTheme="majorHAnsi" w:hAnsiTheme="majorHAnsi" w:cstheme="majorHAnsi"/>
          <w:lang w:val="es-CL"/>
        </w:rPr>
        <w:t>• Análisis causal, que permite determinar las causas directas y raíz de las brechas de productividad identificadas, distinguiendo factores operativos, organizacionales y de diseño de proceso.</w:t>
      </w:r>
    </w:p>
    <w:p w14:paraId="7CE5C8F5" w14:textId="77777777" w:rsidR="001F11E9" w:rsidRPr="00D368B9" w:rsidRDefault="001F11E9" w:rsidP="00D368B9">
      <w:pPr>
        <w:rPr>
          <w:rFonts w:asciiTheme="majorHAnsi" w:hAnsiTheme="majorHAnsi" w:cstheme="majorHAnsi"/>
          <w:lang w:val="es-CL"/>
        </w:rPr>
      </w:pPr>
    </w:p>
    <w:p w14:paraId="4750941F" w14:textId="135982C2" w:rsidR="0095323F" w:rsidRPr="00D368B9" w:rsidRDefault="0095323F" w:rsidP="00D368B9">
      <w:pPr>
        <w:rPr>
          <w:rFonts w:asciiTheme="majorHAnsi" w:hAnsiTheme="majorHAnsi" w:cstheme="majorHAnsi"/>
          <w:lang w:val="es-CL"/>
        </w:rPr>
      </w:pPr>
      <w:r>
        <w:rPr>
          <w:rFonts w:asciiTheme="majorHAnsi" w:hAnsiTheme="majorHAnsi" w:cstheme="majorHAnsi"/>
          <w:lang w:val="es-CL"/>
        </w:rPr>
        <w:t>Cada una de estas metodologías cumple un rol complementario. La medición ToT entrega la línea base cuantitativa de productividad; el análisis de flujo permite visualizar el proceso real y detectar ineficiencias; y el análisis causal sustenta la priorización y diseño de iniciativas de mejora.</w:t>
      </w:r>
    </w:p>
    <w:p w14:paraId="4EB340C8" w14:textId="77777777" w:rsidR="001F11E9" w:rsidRPr="00D368B9" w:rsidRDefault="001F11E9" w:rsidP="00D368B9">
      <w:pPr>
        <w:rPr>
          <w:rFonts w:asciiTheme="majorHAnsi" w:hAnsiTheme="majorHAnsi" w:cstheme="majorHAnsi"/>
          <w:lang w:val="es-CL"/>
        </w:rPr>
      </w:pPr>
    </w:p>
    <w:p w14:paraId="6E8C481C" w14:textId="2C565A90" w:rsidR="0095323F" w:rsidRPr="00D368B9" w:rsidRDefault="0095323F" w:rsidP="00D368B9">
      <w:pPr>
        <w:rPr>
          <w:rFonts w:asciiTheme="majorHAnsi" w:hAnsiTheme="majorHAnsi" w:cstheme="majorHAnsi"/>
          <w:lang w:val="es-CL"/>
        </w:rPr>
      </w:pPr>
      <w:r>
        <w:rPr>
          <w:rFonts w:asciiTheme="majorHAnsi" w:hAnsiTheme="majorHAnsi" w:cstheme="majorHAnsi"/>
          <w:lang w:val="es-CL"/>
        </w:rPr>
        <w:t>El análisis de productividad considera la integración estructurada de estas metodologías, con el fin de construir un diagnóstico completo, consistente y trazable, que constituya la base objetiva para la definición de oportunidades de mejora y la eventual elaboración de planes de acción.</w:t>
      </w:r>
    </w:p>
    <w:p w14:paraId="34F44E07" w14:textId="77777777" w:rsidR="001F11E9" w:rsidRPr="00D368B9" w:rsidRDefault="001F11E9" w:rsidP="00D368B9">
      <w:pPr>
        <w:rPr>
          <w:rFonts w:asciiTheme="majorHAnsi" w:hAnsiTheme="majorHAnsi" w:cstheme="majorHAnsi"/>
          <w:lang w:val="es-CL"/>
        </w:rPr>
      </w:pPr>
    </w:p>
    <w:p w14:paraId="10ABC24D" w14:textId="13A0D591" w:rsidR="0095323F" w:rsidRPr="00D368B9" w:rsidRDefault="0095323F" w:rsidP="00D368B9">
      <w:pPr>
        <w:rPr>
          <w:rFonts w:asciiTheme="majorHAnsi" w:hAnsiTheme="majorHAnsi" w:cstheme="majorHAnsi"/>
          <w:lang w:val="es-CL"/>
        </w:rPr>
      </w:pPr>
      <w:r>
        <w:rPr>
          <w:rFonts w:asciiTheme="majorHAnsi" w:hAnsiTheme="majorHAnsi" w:cstheme="majorHAnsi"/>
          <w:lang w:val="es-CL"/>
        </w:rPr>
        <w:t>Asimismo, el análisis de productividad se articula con los procesos de control dotacional y gestión de contratos, incorporando como insumo la información de dotación FTE, los KPIs de referencia del contrato y las brechas previamente identificadas. En este contexto, el diagnóstico no constituye un análisis aislado, sino un componente integrado del sistema de gestión de servicios terceros.</w:t>
      </w:r>
    </w:p>
    <w:p w14:paraId="1FAE1010" w14:textId="77777777" w:rsidR="001F11E9" w:rsidRPr="00D368B9" w:rsidRDefault="001F11E9" w:rsidP="00D368B9">
      <w:pPr>
        <w:rPr>
          <w:rFonts w:asciiTheme="majorHAnsi" w:hAnsiTheme="majorHAnsi" w:cstheme="majorHAnsi"/>
          <w:lang w:val="es-CL"/>
        </w:rPr>
      </w:pPr>
    </w:p>
    <w:p w14:paraId="62CDA0B1" w14:textId="77777777" w:rsidR="0095323F" w:rsidRPr="00D368B9" w:rsidRDefault="0095323F" w:rsidP="00D368B9">
      <w:pPr>
        <w:rPr>
          <w:rFonts w:asciiTheme="majorHAnsi" w:hAnsiTheme="majorHAnsi" w:cstheme="majorHAnsi"/>
          <w:lang w:val="es-CL"/>
        </w:rPr>
      </w:pPr>
      <w:r>
        <w:rPr>
          <w:rFonts w:asciiTheme="majorHAnsi" w:hAnsiTheme="majorHAnsi" w:cstheme="majorHAnsi"/>
          <w:lang w:val="es-CL"/>
        </w:rPr>
        <w:t>Los resultados del análisis de productividad tienen carácter oficial para el contrato diagnosticado y serán utilizados como referencia para la definición de iniciativas de mejora, la fijación de nuevas líneas base y la reportabilidad de desempeño operacional.</w:t>
      </w:r>
    </w:p>
    <w:p w14:paraId="6E7341E1" w14:textId="04F91600" w:rsidR="000A6052" w:rsidRDefault="00E6057B" w:rsidP="0095323F">
      <w:pPr>
        <w:pStyle w:val="Ttulo1"/>
        <w:spacing w:line="240" w:lineRule="auto"/>
        <w:jc w:val="both"/>
        <w:rPr>
          <w:rFonts w:asciiTheme="majorHAnsi" w:hAnsiTheme="majorHAnsi"/>
          <w:color w:val="31849B" w:themeColor="accent5" w:themeShade="BF"/>
          <w:sz w:val="22"/>
          <w:szCs w:val="32"/>
        </w:rPr>
      </w:pPr>
      <w:bookmarkStart w:id="10" w:name="_Toc224725687"/>
      <w:r>
        <w:rPr>
          <w:rFonts w:asciiTheme="majorHAnsi" w:hAnsiTheme="majorHAnsi"/>
          <w:color w:val="31849B" w:themeColor="accent5" w:themeShade="BF"/>
          <w:sz w:val="22"/>
          <w:szCs w:val="32"/>
        </w:rPr>
        <w:t>5. Ejecución del análisis de productividad</w:t>
      </w:r>
      <w:bookmarkEnd w:id="10"/>
    </w:p>
    <w:p w14:paraId="1DCA4954" w14:textId="77777777" w:rsidR="006900B0" w:rsidRDefault="006900B0" w:rsidP="006900B0">
      <w:pPr>
        <w:rPr>
          <w:rFonts w:asciiTheme="majorHAnsi" w:hAnsiTheme="majorHAnsi" w:cstheme="majorHAnsi"/>
          <w:lang w:val="es-CL"/>
        </w:rPr>
      </w:pPr>
      <w:r>
        <w:rPr>
          <w:rFonts w:asciiTheme="majorHAnsi" w:hAnsiTheme="majorHAnsi" w:cstheme="majorHAnsi"/>
          <w:lang w:val="es-CL"/>
        </w:rPr>
        <w:t>La ejecución del análisis de productividad corresponde al proceso mediante el cual GST, en conjunto con el AdC y ATOS, levanta, mide, analiza y formaliza el diagnóstico de productividad de un contrato de servicios terceros priorizado.</w:t>
      </w:r>
    </w:p>
    <w:p w14:paraId="36713F67" w14:textId="77777777" w:rsidR="006900B0" w:rsidRPr="006900B0" w:rsidRDefault="006900B0" w:rsidP="006900B0">
      <w:pPr>
        <w:rPr>
          <w:rFonts w:asciiTheme="majorHAnsi" w:hAnsiTheme="majorHAnsi" w:cstheme="majorHAnsi"/>
          <w:lang w:val="es-CL"/>
        </w:rPr>
      </w:pPr>
    </w:p>
    <w:p w14:paraId="746BF02F" w14:textId="77777777" w:rsidR="006900B0" w:rsidRDefault="006900B0" w:rsidP="006900B0">
      <w:pPr>
        <w:rPr>
          <w:rFonts w:asciiTheme="majorHAnsi" w:hAnsiTheme="majorHAnsi" w:cstheme="majorHAnsi"/>
          <w:lang w:val="es-CL"/>
        </w:rPr>
      </w:pPr>
      <w:r>
        <w:rPr>
          <w:rFonts w:asciiTheme="majorHAnsi" w:hAnsiTheme="majorHAnsi" w:cstheme="majorHAnsi"/>
          <w:lang w:val="es-CL"/>
        </w:rPr>
        <w:t>Este proceso considera el levantamiento de la ejecución actual del servicio, la medición de tiempos y clasificación de actividades, el análisis del flujo de proceso, la identificación de brechas respecto de los KPIs de referencia, la determinación de causas y la definición de oportunidades de mejora priorizadas.</w:t>
      </w:r>
    </w:p>
    <w:p w14:paraId="13965882" w14:textId="77777777" w:rsidR="006900B0" w:rsidRPr="006900B0" w:rsidRDefault="006900B0" w:rsidP="006900B0">
      <w:pPr>
        <w:rPr>
          <w:rFonts w:asciiTheme="majorHAnsi" w:hAnsiTheme="majorHAnsi" w:cstheme="majorHAnsi"/>
          <w:lang w:val="es-CL"/>
        </w:rPr>
      </w:pPr>
    </w:p>
    <w:p w14:paraId="6BEA1EA7" w14:textId="77777777" w:rsidR="006900B0" w:rsidRPr="006900B0" w:rsidRDefault="006900B0" w:rsidP="006900B0">
      <w:pPr>
        <w:rPr>
          <w:rFonts w:asciiTheme="majorHAnsi" w:hAnsiTheme="majorHAnsi" w:cstheme="majorHAnsi"/>
          <w:lang w:val="es-CL"/>
        </w:rPr>
      </w:pPr>
      <w:r>
        <w:rPr>
          <w:rFonts w:asciiTheme="majorHAnsi" w:hAnsiTheme="majorHAnsi" w:cstheme="majorHAnsi"/>
          <w:lang w:val="es-CL"/>
        </w:rPr>
        <w:t>Sobre esta base, el análisis de productividad tiene por objetivo construir una línea base cuantitativa del desempeño operativo, identificar las principales ineficiencias del proceso y sustentar con evidencia objetiva la priorización y diseño de iniciativas de mejora.</w:t>
      </w:r>
    </w:p>
    <w:p w14:paraId="0FA6D5F2" w14:textId="77777777" w:rsidR="006900B0" w:rsidRDefault="006900B0" w:rsidP="006900B0">
      <w:pPr>
        <w:rPr>
          <w:rFonts w:asciiTheme="majorHAnsi" w:hAnsiTheme="majorHAnsi" w:cstheme="majorHAnsi"/>
          <w:lang w:val="es-CL"/>
        </w:rPr>
      </w:pPr>
      <w:r>
        <w:rPr>
          <w:rFonts w:asciiTheme="majorHAnsi" w:hAnsiTheme="majorHAnsi" w:cstheme="majorHAnsi"/>
          <w:lang w:val="es-CL"/>
        </w:rPr>
        <w:t>El análisis permite distinguir entre restricciones operativas puntuales y brechas estructurales de productividad, evaluando su impacto en la eficiencia del servicio, el consumo de dotación y el cumplimiento de los estándares contractuales.</w:t>
      </w:r>
    </w:p>
    <w:p w14:paraId="4467BC4C" w14:textId="77777777" w:rsidR="006900B0" w:rsidRPr="006900B0" w:rsidRDefault="006900B0" w:rsidP="006900B0">
      <w:pPr>
        <w:rPr>
          <w:rFonts w:asciiTheme="majorHAnsi" w:hAnsiTheme="majorHAnsi" w:cstheme="majorHAnsi"/>
          <w:lang w:val="es-CL"/>
        </w:rPr>
      </w:pPr>
    </w:p>
    <w:p w14:paraId="7C119354" w14:textId="77777777" w:rsidR="0053366C" w:rsidRDefault="0053366C" w:rsidP="0053366C">
      <w:pPr>
        <w:rPr>
          <w:rFonts w:asciiTheme="majorHAnsi" w:hAnsiTheme="majorHAnsi" w:cstheme="majorHAnsi"/>
          <w:lang w:val="es-CL"/>
        </w:rPr>
      </w:pPr>
      <w:r>
        <w:rPr>
          <w:rFonts w:asciiTheme="majorHAnsi" w:hAnsiTheme="majorHAnsi" w:cstheme="majorHAnsi"/>
          <w:lang w:val="es-CL"/>
        </w:rPr>
        <w:t>Las brechas de productividad identificadas deberán ser analizadas en conjunto con el AdC y ATOS, quienes deberán contribuir con el conocimiento operativo del proceso para la determinación de causas directas y raíz. Este análisis constituye un insumo fundamental para la priorización de oportunidades de mejora, pero no implica validación automática de ninguna iniciativa sin respaldo de datos.</w:t>
      </w:r>
    </w:p>
    <w:p w14:paraId="4FAA0A64" w14:textId="77777777" w:rsidR="0053366C" w:rsidRPr="0053366C" w:rsidRDefault="0053366C" w:rsidP="0053366C">
      <w:pPr>
        <w:rPr>
          <w:rFonts w:asciiTheme="majorHAnsi" w:hAnsiTheme="majorHAnsi" w:cstheme="majorHAnsi"/>
          <w:lang w:val="es-CL"/>
        </w:rPr>
      </w:pPr>
    </w:p>
    <w:p w14:paraId="494DE79D" w14:textId="77777777" w:rsidR="0053366C" w:rsidRPr="0053366C" w:rsidRDefault="0053366C" w:rsidP="0053366C">
      <w:pPr>
        <w:rPr>
          <w:rFonts w:asciiTheme="majorHAnsi" w:hAnsiTheme="majorHAnsi" w:cstheme="majorHAnsi"/>
          <w:lang w:val="es-CL"/>
        </w:rPr>
      </w:pPr>
      <w:r>
        <w:rPr>
          <w:rFonts w:asciiTheme="majorHAnsi" w:hAnsiTheme="majorHAnsi" w:cstheme="majorHAnsi"/>
          <w:lang w:val="es-CL"/>
        </w:rPr>
        <w:t>Sobre la base de esta información, GST evaluará la solidez del diagnóstico, validará las causas identificadas conforme a la evidencia levantada en terreno, clasificará las oportunidades de mejora según su impacto y factibilidad, y definirá las acciones correspondientes, que podrán incluir la elaboración de planes de mejora, el escalamiento a instancias de decisión o la incorporación del diagnóstico en la gestión de desempeño del contrato.</w:t>
      </w:r>
    </w:p>
    <w:p w14:paraId="45FD70FC" w14:textId="77777777" w:rsidR="006900B0" w:rsidRPr="006900B0" w:rsidRDefault="006900B0" w:rsidP="006900B0">
      <w:pPr>
        <w:rPr>
          <w:rFonts w:asciiTheme="majorHAnsi" w:hAnsiTheme="majorHAnsi" w:cstheme="majorHAnsi"/>
          <w:lang w:val="es-CL"/>
        </w:rPr>
      </w:pPr>
    </w:p>
    <w:p w14:paraId="20C2AAB3" w14:textId="6620180B" w:rsidR="007829DA" w:rsidRPr="006900B0" w:rsidRDefault="006900B0" w:rsidP="006900B0">
      <w:pPr>
        <w:rPr>
          <w:rFonts w:asciiTheme="majorHAnsi" w:hAnsiTheme="majorHAnsi" w:cstheme="majorHAnsi"/>
          <w:lang w:val="es-CL"/>
        </w:rPr>
      </w:pPr>
      <w:r>
        <w:rPr>
          <w:rFonts w:asciiTheme="majorHAnsi" w:hAnsiTheme="majorHAnsi" w:cstheme="majorHAnsi"/>
          <w:lang w:val="es-CL"/>
        </w:rPr>
        <w:t>El proceso de análisis de productividad deberá ejecutarse conforme al cronograma definido para cada diagnóstico, el cual deberá ser acordado entre GST y el AdC al inicio del levantamiento, asegurando disponibilidad de acceso a terreno y condiciones operativas representativas.</w:t>
      </w:r>
    </w:p>
    <w:p w14:paraId="2167F89C" w14:textId="77777777" w:rsidR="007829DA" w:rsidRDefault="007829DA" w:rsidP="003B05D3">
      <w:pPr>
        <w:pStyle w:val="Ttulo2"/>
        <w:spacing w:before="0"/>
        <w:ind w:left="576" w:hanging="576"/>
        <w:rPr>
          <w:rFonts w:asciiTheme="majorHAnsi" w:hAnsiTheme="majorHAnsi"/>
          <w:color w:val="31849B" w:themeColor="accent5" w:themeShade="BF"/>
          <w:sz w:val="22"/>
        </w:rPr>
      </w:pPr>
    </w:p>
    <w:p w14:paraId="1BD8EFAB" w14:textId="671B67BF" w:rsidR="00D5319C" w:rsidRPr="003B05D3" w:rsidRDefault="00D5319C" w:rsidP="003B05D3">
      <w:pPr>
        <w:pStyle w:val="Ttulo2"/>
        <w:spacing w:before="0"/>
        <w:ind w:left="576" w:hanging="576"/>
        <w:rPr>
          <w:rFonts w:asciiTheme="majorHAnsi" w:hAnsiTheme="majorHAnsi"/>
          <w:color w:val="31849B" w:themeColor="accent5" w:themeShade="BF"/>
          <w:sz w:val="22"/>
        </w:rPr>
      </w:pPr>
      <w:bookmarkStart w:id="11" w:name="_Toc224725688"/>
      <w:r>
        <w:rPr>
          <w:rFonts w:asciiTheme="majorHAnsi" w:hAnsiTheme="majorHAnsi"/>
          <w:color w:val="31849B" w:themeColor="accent5" w:themeShade="BF"/>
          <w:sz w:val="22"/>
        </w:rPr>
        <w:t>5.1 Definición del alcance del diagnóstico</w:t>
      </w:r>
      <w:bookmarkEnd w:id="11"/>
    </w:p>
    <w:p w14:paraId="14C4038F" w14:textId="77777777" w:rsidR="00A047E5" w:rsidRPr="00A047E5" w:rsidRDefault="00A047E5" w:rsidP="003B05D3">
      <w:pPr>
        <w:rPr>
          <w:rFonts w:asciiTheme="majorHAnsi" w:hAnsiTheme="majorHAnsi" w:cstheme="majorHAnsi"/>
          <w:lang w:val="es-CL"/>
        </w:rPr>
      </w:pPr>
      <w:r>
        <w:rPr>
          <w:rFonts w:asciiTheme="majorHAnsi" w:hAnsiTheme="majorHAnsi" w:cstheme="majorHAnsi"/>
          <w:lang w:val="es-CL"/>
        </w:rPr>
        <w:t>Esta etapa marca el inicio formal del proceso de análisis de productividad, estableciendo el contrato y proceso a diagnosticar, los KPIs de referencia y la dotación FTE involucrada.</w:t>
      </w:r>
    </w:p>
    <w:p w14:paraId="3EC92FF5" w14:textId="77777777" w:rsidR="00A047E5" w:rsidRPr="00A047E5" w:rsidRDefault="00A047E5" w:rsidP="003B05D3">
      <w:pPr>
        <w:rPr>
          <w:rFonts w:asciiTheme="majorHAnsi" w:hAnsiTheme="majorHAnsi" w:cstheme="majorHAnsi"/>
          <w:lang w:val="es-CL"/>
        </w:rPr>
      </w:pPr>
      <w:r>
        <w:rPr>
          <w:rFonts w:asciiTheme="majorHAnsi" w:hAnsiTheme="majorHAnsi" w:cstheme="majorHAnsi"/>
          <w:lang w:val="es-CL"/>
        </w:rPr>
        <w:t>GST define el alcance del diagnóstico en coordinación con el AdC, determinando el proceso operativo específico que será analizado, el período de observación requerido y los recursos necesarios para ejecutar la medición en terreno.</w:t>
      </w:r>
    </w:p>
    <w:p w14:paraId="4741ADE2" w14:textId="77777777" w:rsidR="00A047E5" w:rsidRPr="00A047E5" w:rsidRDefault="00A047E5" w:rsidP="003B05D3">
      <w:pPr>
        <w:rPr>
          <w:rFonts w:asciiTheme="majorHAnsi" w:hAnsiTheme="majorHAnsi" w:cstheme="majorHAnsi"/>
          <w:lang w:val="es-CL"/>
        </w:rPr>
      </w:pPr>
      <w:r>
        <w:rPr>
          <w:rFonts w:asciiTheme="majorHAnsi" w:hAnsiTheme="majorHAnsi" w:cstheme="majorHAnsi"/>
          <w:lang w:val="es-CL"/>
        </w:rPr>
        <w:t>En esta instancia se activa la carpeta oficial de trabajo del diagnóstico, se define el cronograma de levantamiento y se formaliza la coordinación con el AdC y ATOS para asegurar el acceso a las condiciones operativas reales.</w:t>
      </w:r>
    </w:p>
    <w:p w14:paraId="3DB895D0" w14:textId="77777777" w:rsidR="00A047E5" w:rsidRPr="00A047E5" w:rsidRDefault="00A047E5" w:rsidP="003B05D3">
      <w:pPr>
        <w:rPr>
          <w:rFonts w:asciiTheme="majorHAnsi" w:hAnsiTheme="majorHAnsi" w:cstheme="majorHAnsi"/>
          <w:lang w:val="es-CL"/>
        </w:rPr>
      </w:pPr>
      <w:r>
        <w:rPr>
          <w:rFonts w:asciiTheme="majorHAnsi" w:hAnsiTheme="majorHAnsi" w:cstheme="majorHAnsi"/>
          <w:lang w:val="es-CL"/>
        </w:rPr>
        <w:t>La definición del alcance constituye el punto de partida del diagnóstico y condiciona la representatividad de los datos levantados. No se podrán incorporar al análisis observaciones realizadas fuera del alcance definido.</w:t>
      </w:r>
    </w:p>
    <w:p w14:paraId="4474CDB7" w14:textId="77777777" w:rsidR="00A047E5" w:rsidRPr="00A047E5" w:rsidRDefault="00A047E5" w:rsidP="003B05D3"/>
    <w:p w14:paraId="7DE72734" w14:textId="77777777" w:rsidR="00D5319C" w:rsidRPr="003B05D3" w:rsidRDefault="00D5319C" w:rsidP="003B05D3">
      <w:pPr>
        <w:pStyle w:val="Ttulo2"/>
        <w:spacing w:before="0"/>
        <w:ind w:left="576" w:hanging="576"/>
        <w:rPr>
          <w:rFonts w:asciiTheme="majorHAnsi" w:hAnsiTheme="majorHAnsi"/>
          <w:color w:val="31849B" w:themeColor="accent5" w:themeShade="BF"/>
          <w:sz w:val="22"/>
        </w:rPr>
      </w:pPr>
      <w:bookmarkStart w:id="12" w:name="_Toc224725689"/>
      <w:r>
        <w:rPr>
          <w:rFonts w:asciiTheme="majorHAnsi" w:hAnsiTheme="majorHAnsi"/>
          <w:color w:val="31849B" w:themeColor="accent5" w:themeShade="BF"/>
          <w:sz w:val="22"/>
        </w:rPr>
        <w:lastRenderedPageBreak/>
        <w:t>5.2 Levantamiento de la ejecución actual</w:t>
      </w:r>
      <w:bookmarkEnd w:id="12"/>
    </w:p>
    <w:p w14:paraId="096E4E40" w14:textId="77777777" w:rsidR="00E7050A" w:rsidRPr="00E7050A" w:rsidRDefault="00E7050A" w:rsidP="003B05D3">
      <w:pPr>
        <w:pStyle w:val="NormalWeb"/>
        <w:rPr>
          <w:rFonts w:asciiTheme="majorHAnsi" w:hAnsiTheme="majorHAnsi" w:cstheme="majorHAnsi"/>
          <w:sz w:val="22"/>
          <w:szCs w:val="22"/>
        </w:rPr>
      </w:pPr>
      <w:r>
        <w:rPr>
          <w:rFonts w:asciiTheme="majorHAnsi" w:hAnsiTheme="majorHAnsi" w:cstheme="majorHAnsi"/>
          <w:sz w:val="22"/>
          <w:szCs w:val="22"/>
        </w:rPr>
        <w:t xml:space="preserve">En esta etapa se recopila la </w:t>
      </w:r>
      <w:r>
        <w:rPr>
          <w:rStyle w:val="Fuerte"/>
          <w:rFonts w:asciiTheme="majorHAnsi" w:hAnsiTheme="majorHAnsi" w:cstheme="majorHAnsi"/>
          <w:b w:val="0"/>
          <w:bCs w:val="0"/>
          <w:sz w:val="22"/>
          <w:szCs w:val="22"/>
        </w:rPr>
        <w:t>información base necesaria para ejecutar el diagnóstico de productividad, mediante observación directa y registro en terreno</w:t>
      </w:r>
      <w:r>
        <w:rPr>
          <w:rFonts w:asciiTheme="majorHAnsi" w:hAnsiTheme="majorHAnsi" w:cstheme="majorHAnsi"/>
          <w:sz w:val="22"/>
          <w:szCs w:val="22"/>
        </w:rPr>
        <w:t>, utilizando las fuentes oficiales definidas por la compañía.</w:t>
      </w:r>
    </w:p>
    <w:p w14:paraId="67BCA751" w14:textId="77777777" w:rsidR="00E7050A" w:rsidRPr="00E7050A" w:rsidRDefault="00E7050A" w:rsidP="003B05D3">
      <w:pPr>
        <w:pStyle w:val="NormalWeb"/>
        <w:rPr>
          <w:rFonts w:asciiTheme="majorHAnsi" w:hAnsiTheme="majorHAnsi" w:cstheme="majorHAnsi"/>
          <w:sz w:val="22"/>
          <w:szCs w:val="22"/>
        </w:rPr>
      </w:pPr>
      <w:r>
        <w:rPr>
          <w:rFonts w:asciiTheme="majorHAnsi" w:hAnsiTheme="majorHAnsi" w:cstheme="majorHAnsi"/>
          <w:sz w:val="22"/>
          <w:szCs w:val="22"/>
        </w:rPr>
        <w:t>GST y ATOS deberán coordinar y ejecutar el levantamiento de la ejecución actual del proceso, considerando:</w:t>
      </w:r>
    </w:p>
    <w:p w14:paraId="229E6D54" w14:textId="77777777" w:rsidR="00D5319C" w:rsidRPr="0088586B" w:rsidRDefault="00D5319C" w:rsidP="003B05D3">
      <w:pPr>
        <w:numPr>
          <w:ilvl w:val="0"/>
          <w:numId w:val="7"/>
        </w:numPr>
        <w:spacing w:before="240" w:line="240" w:lineRule="auto"/>
        <w:jc w:val="both"/>
        <w:rPr>
          <w:rFonts w:asciiTheme="majorHAnsi" w:eastAsia="Calibri" w:hAnsiTheme="majorHAnsi" w:cstheme="majorHAnsi"/>
        </w:rPr>
      </w:pPr>
      <w:r>
        <w:rPr>
          <w:rFonts w:asciiTheme="majorHAnsi" w:eastAsia="Calibri" w:hAnsiTheme="majorHAnsi" w:cstheme="majorHAnsi"/>
        </w:rPr>
        <w:t>Observación directa del proceso operativo en terreno, bajo condiciones normales de operación.</w:t>
      </w:r>
    </w:p>
    <w:p w14:paraId="32D4EF81" w14:textId="77777777" w:rsidR="00D5319C" w:rsidRPr="0088586B" w:rsidRDefault="00D5319C" w:rsidP="003B05D3">
      <w:pPr>
        <w:numPr>
          <w:ilvl w:val="0"/>
          <w:numId w:val="7"/>
        </w:numPr>
        <w:spacing w:line="240" w:lineRule="auto"/>
        <w:jc w:val="both"/>
        <w:rPr>
          <w:rFonts w:asciiTheme="majorHAnsi" w:eastAsia="Calibri" w:hAnsiTheme="majorHAnsi" w:cstheme="majorHAnsi"/>
        </w:rPr>
      </w:pPr>
      <w:r>
        <w:rPr>
          <w:rFonts w:asciiTheme="majorHAnsi" w:eastAsia="Calibri" w:hAnsiTheme="majorHAnsi" w:cstheme="majorHAnsi"/>
        </w:rPr>
        <w:t>Registro secuencial de las actividades ejecutadas por los trabajadores, con identificación de su naturaleza (productiva, ocasional o búsqueda de oportunidad).</w:t>
      </w:r>
    </w:p>
    <w:p w14:paraId="2DF50659" w14:textId="77777777" w:rsidR="00D5319C" w:rsidRPr="0088586B" w:rsidRDefault="00D5319C" w:rsidP="003B05D3">
      <w:pPr>
        <w:numPr>
          <w:ilvl w:val="0"/>
          <w:numId w:val="7"/>
        </w:numPr>
        <w:spacing w:line="240" w:lineRule="auto"/>
        <w:jc w:val="both"/>
        <w:rPr>
          <w:rFonts w:asciiTheme="majorHAnsi" w:eastAsia="Calibri" w:hAnsiTheme="majorHAnsi" w:cstheme="majorHAnsi"/>
        </w:rPr>
      </w:pPr>
      <w:r>
        <w:rPr>
          <w:rFonts w:asciiTheme="majorHAnsi" w:eastAsia="Calibri" w:hAnsiTheme="majorHAnsi" w:cstheme="majorHAnsi"/>
        </w:rPr>
        <w:t>KPIs de referencia del contrato, dotación FTE asignada y estándares de rendimiento esperados.</w:t>
      </w:r>
    </w:p>
    <w:p w14:paraId="2C01600C" w14:textId="77777777" w:rsidR="00D5319C" w:rsidRPr="0088586B" w:rsidRDefault="00D5319C" w:rsidP="003B05D3">
      <w:pPr>
        <w:numPr>
          <w:ilvl w:val="0"/>
          <w:numId w:val="7"/>
        </w:numPr>
        <w:spacing w:line="240" w:lineRule="auto"/>
        <w:jc w:val="both"/>
        <w:rPr>
          <w:rFonts w:asciiTheme="majorHAnsi" w:eastAsia="Calibri" w:hAnsiTheme="majorHAnsi" w:cstheme="majorHAnsi"/>
        </w:rPr>
      </w:pPr>
      <w:r>
        <w:rPr>
          <w:rFonts w:asciiTheme="majorHAnsi" w:eastAsia="Calibri" w:hAnsiTheme="majorHAnsi" w:cstheme="majorHAnsi"/>
        </w:rPr>
        <w:t>Documentación del proceso observado, incluyendo descripción de tareas, secuencia, frecuencia y recursos involucrados.</w:t>
      </w:r>
    </w:p>
    <w:p w14:paraId="4BCE6C6C" w14:textId="77777777" w:rsidR="00D5319C" w:rsidRPr="0088586B" w:rsidRDefault="00D5319C" w:rsidP="003B05D3">
      <w:pPr>
        <w:numPr>
          <w:ilvl w:val="0"/>
          <w:numId w:val="7"/>
        </w:numPr>
        <w:spacing w:line="240" w:lineRule="auto"/>
        <w:jc w:val="both"/>
        <w:rPr>
          <w:rFonts w:asciiTheme="majorHAnsi" w:eastAsia="Calibri" w:hAnsiTheme="majorHAnsi" w:cstheme="majorHAnsi"/>
        </w:rPr>
      </w:pPr>
      <w:r>
        <w:rPr>
          <w:rFonts w:asciiTheme="majorHAnsi" w:eastAsia="Calibri" w:hAnsiTheme="majorHAnsi" w:cstheme="majorHAnsi"/>
        </w:rPr>
        <w:t>Identificación preliminar de restricciones, esperas o actividades sin valor agregado observadas durante el levantamiento.</w:t>
      </w:r>
    </w:p>
    <w:p w14:paraId="492250B0" w14:textId="478619D8" w:rsidR="00D5319C" w:rsidRPr="0088586B" w:rsidRDefault="00D5319C" w:rsidP="003B05D3">
      <w:pPr>
        <w:numPr>
          <w:ilvl w:val="0"/>
          <w:numId w:val="7"/>
        </w:numPr>
        <w:spacing w:after="240" w:line="240" w:lineRule="auto"/>
        <w:rPr>
          <w:rFonts w:asciiTheme="majorHAnsi" w:eastAsia="Calibri" w:hAnsiTheme="majorHAnsi" w:cstheme="majorHAnsi"/>
        </w:rPr>
      </w:pPr>
      <w:r>
        <w:rPr>
          <w:rFonts w:asciiTheme="majorHAnsi" w:eastAsia="Calibri" w:hAnsiTheme="majorHAnsi" w:cstheme="majorHAnsi"/>
        </w:rPr>
        <w:t>Entrevistas de contexto con el AdC y supervisores del contratista, para comprender restricciones operacionales no observables directamente.</w:t>
      </w:r>
    </w:p>
    <w:p w14:paraId="447E4787" w14:textId="77777777" w:rsidR="00D5319C" w:rsidRPr="0088586B" w:rsidRDefault="00D5319C" w:rsidP="003B05D3">
      <w:pPr>
        <w:spacing w:before="240" w:after="240" w:line="240" w:lineRule="auto"/>
        <w:jc w:val="both"/>
        <w:rPr>
          <w:rFonts w:asciiTheme="majorHAnsi" w:eastAsia="Calibri" w:hAnsiTheme="majorHAnsi" w:cstheme="majorHAnsi"/>
        </w:rPr>
      </w:pPr>
      <w:r>
        <w:rPr>
          <w:rFonts w:asciiTheme="majorHAnsi" w:eastAsia="Calibri" w:hAnsiTheme="majorHAnsi" w:cstheme="majorHAnsi"/>
        </w:rPr>
        <w:t>El levantamiento deberá verificarse en términos de representatividad y suficiencia de muestra. En caso de que las condiciones operativas observadas no sean representativas de la operación normal (paros, contingencias, dotación reducida), la medición deberá ser reprogramada antes de continuar con el análisis.</w:t>
      </w:r>
    </w:p>
    <w:p w14:paraId="3B8AECD8" w14:textId="77777777" w:rsidR="00D5319C" w:rsidRPr="003B05D3" w:rsidRDefault="00D5319C" w:rsidP="003B05D3">
      <w:pPr>
        <w:pStyle w:val="Ttulo2"/>
        <w:spacing w:before="0"/>
        <w:ind w:left="576" w:hanging="576"/>
        <w:rPr>
          <w:rFonts w:asciiTheme="majorHAnsi" w:hAnsiTheme="majorHAnsi"/>
          <w:color w:val="31849B" w:themeColor="accent5" w:themeShade="BF"/>
          <w:sz w:val="22"/>
        </w:rPr>
      </w:pPr>
      <w:bookmarkStart w:id="13" w:name="_Toc224725690"/>
      <w:r>
        <w:rPr>
          <w:rFonts w:asciiTheme="majorHAnsi" w:hAnsiTheme="majorHAnsi"/>
          <w:color w:val="31849B" w:themeColor="accent5" w:themeShade="BF"/>
          <w:sz w:val="22"/>
        </w:rPr>
        <w:t>5.3 Medición de tiempos y clasificación de actividades (ToT)</w:t>
      </w:r>
      <w:bookmarkEnd w:id="13"/>
    </w:p>
    <w:p w14:paraId="16C08266" w14:textId="1CA12FFC" w:rsidR="00655F02" w:rsidRPr="00230A8F" w:rsidRDefault="00655F02" w:rsidP="003B05D3">
      <w:pPr>
        <w:rPr>
          <w:rFonts w:asciiTheme="majorHAnsi" w:hAnsiTheme="majorHAnsi" w:cstheme="majorHAnsi"/>
          <w:lang w:val="es-CL"/>
        </w:rPr>
      </w:pPr>
      <w:r>
        <w:rPr>
          <w:rFonts w:asciiTheme="majorHAnsi" w:hAnsiTheme="majorHAnsi" w:cstheme="majorHAnsi"/>
          <w:lang w:val="es-CL"/>
        </w:rPr>
        <w:t>Una vez ejecutado el levantamiento, ATOS procederá a registrar y sistematizar los tiempos observados por trabajador y actividad, aplicando la metodología de medición ToT definida para el análisis. GST validará la base de tiempos resultante antes de proceder al cálculo de indicadores.</w:t>
      </w:r>
    </w:p>
    <w:p w14:paraId="5D1161B4" w14:textId="77777777" w:rsidR="00720794" w:rsidRPr="00230A8F" w:rsidRDefault="00720794" w:rsidP="003B05D3">
      <w:pPr>
        <w:rPr>
          <w:rFonts w:asciiTheme="majorHAnsi" w:hAnsiTheme="majorHAnsi" w:cstheme="majorHAnsi"/>
          <w:lang w:val="es-CL"/>
        </w:rPr>
      </w:pPr>
    </w:p>
    <w:p w14:paraId="6FA4AA56" w14:textId="587AB6A7" w:rsidR="00655F02" w:rsidRPr="00230A8F" w:rsidRDefault="00655F02" w:rsidP="003B05D3">
      <w:pPr>
        <w:rPr>
          <w:rFonts w:asciiTheme="majorHAnsi" w:hAnsiTheme="majorHAnsi" w:cstheme="majorHAnsi"/>
          <w:lang w:val="es-CL"/>
        </w:rPr>
      </w:pPr>
      <w:r>
        <w:rPr>
          <w:rFonts w:asciiTheme="majorHAnsi" w:hAnsiTheme="majorHAnsi" w:cstheme="majorHAnsi"/>
          <w:lang w:val="es-CL"/>
        </w:rPr>
        <w:t>En esta etapa se estandarizan los formatos de registro, se homologan las clasificaciones de actividades y se asegura trazabilidad entre la observación en terreno y el dato sistematizado. El resultado es una base de tiempos consolidada, clasificada y susceptible de revisión técnica.</w:t>
      </w:r>
    </w:p>
    <w:p w14:paraId="5FFF2667" w14:textId="76BE0F83" w:rsidR="00230A8F" w:rsidRPr="00230A8F" w:rsidRDefault="00230A8F" w:rsidP="00230A8F">
      <w:pPr>
        <w:pStyle w:val="NormalWeb"/>
        <w:rPr>
          <w:rFonts w:asciiTheme="majorHAnsi" w:hAnsiTheme="majorHAnsi" w:cstheme="majorHAnsi"/>
          <w:sz w:val="22"/>
          <w:szCs w:val="22"/>
        </w:rPr>
      </w:pPr>
      <w:r>
        <w:rPr>
          <w:rFonts w:asciiTheme="majorHAnsi" w:hAnsiTheme="majorHAnsi" w:cstheme="majorHAnsi"/>
          <w:sz w:val="22"/>
          <w:szCs w:val="22"/>
        </w:rPr>
        <w:t>Antes de calcular el indicador ToT, la base de tiempos debe ser revisada para asegurar que los datos sean consistentes, completos y representativos de las condiciones reales de operación.</w:t>
      </w:r>
    </w:p>
    <w:p w14:paraId="5A71233F" w14:textId="77777777" w:rsidR="00230A8F" w:rsidRPr="00230A8F" w:rsidRDefault="00230A8F" w:rsidP="00230A8F">
      <w:pPr>
        <w:pStyle w:val="NormalWeb"/>
        <w:rPr>
          <w:rFonts w:asciiTheme="majorHAnsi" w:hAnsiTheme="majorHAnsi" w:cstheme="majorHAnsi"/>
          <w:sz w:val="22"/>
          <w:szCs w:val="22"/>
        </w:rPr>
      </w:pPr>
      <w:r>
        <w:rPr>
          <w:rFonts w:asciiTheme="majorHAnsi" w:hAnsiTheme="majorHAnsi" w:cstheme="majorHAnsi"/>
          <w:sz w:val="22"/>
          <w:szCs w:val="22"/>
        </w:rPr>
        <w:t>Para estos efectos, GST ejecutará una revisión técnica de la base de medición, considerando los siguientes aspectos:</w:t>
      </w:r>
    </w:p>
    <w:p w14:paraId="4161FBF5" w14:textId="77777777" w:rsidR="00230A8F" w:rsidRPr="00230A8F" w:rsidRDefault="00230A8F" w:rsidP="00230A8F">
      <w:pPr>
        <w:pStyle w:val="NormalWeb"/>
        <w:rPr>
          <w:rFonts w:asciiTheme="majorHAnsi" w:hAnsiTheme="majorHAnsi" w:cstheme="majorHAnsi"/>
          <w:sz w:val="22"/>
          <w:szCs w:val="22"/>
        </w:rPr>
      </w:pPr>
      <w:r>
        <w:rPr>
          <w:rFonts w:asciiTheme="majorHAnsi" w:hAnsiTheme="majorHAnsi" w:cstheme="majorHAnsi"/>
          <w:sz w:val="22"/>
          <w:szCs w:val="22"/>
        </w:rPr>
        <w:t>Este proceso considera:</w:t>
      </w:r>
    </w:p>
    <w:p w14:paraId="670BB833" w14:textId="77777777" w:rsidR="00230A8F" w:rsidRPr="00230A8F" w:rsidRDefault="00230A8F" w:rsidP="00230A8F">
      <w:pPr>
        <w:pStyle w:val="NormalWeb"/>
        <w:rPr>
          <w:rFonts w:asciiTheme="majorHAnsi" w:hAnsiTheme="majorHAnsi" w:cstheme="majorHAnsi"/>
          <w:b/>
          <w:bCs/>
          <w:color w:val="31849B" w:themeColor="accent5" w:themeShade="BF"/>
          <w:sz w:val="22"/>
          <w:szCs w:val="22"/>
        </w:rPr>
      </w:pPr>
      <w:r>
        <w:rPr>
          <w:rStyle w:val="Fuerte"/>
          <w:rFonts w:asciiTheme="majorHAnsi" w:hAnsiTheme="majorHAnsi" w:cstheme="majorHAnsi"/>
          <w:b w:val="0"/>
          <w:bCs w:val="0"/>
          <w:color w:val="31849B" w:themeColor="accent5" w:themeShade="BF"/>
          <w:sz w:val="22"/>
          <w:szCs w:val="22"/>
        </w:rPr>
        <w:t>a) Validación de la muestra</w:t>
      </w:r>
    </w:p>
    <w:p w14:paraId="47A66055" w14:textId="77777777" w:rsidR="00230A8F" w:rsidRPr="00230A8F" w:rsidRDefault="00230A8F" w:rsidP="00230A8F">
      <w:pPr>
        <w:pStyle w:val="NormalWeb"/>
        <w:numPr>
          <w:ilvl w:val="0"/>
          <w:numId w:val="20"/>
        </w:numPr>
        <w:rPr>
          <w:rFonts w:asciiTheme="majorHAnsi" w:hAnsiTheme="majorHAnsi" w:cstheme="majorHAnsi"/>
          <w:sz w:val="22"/>
          <w:szCs w:val="22"/>
        </w:rPr>
      </w:pPr>
      <w:r>
        <w:rPr>
          <w:rFonts w:asciiTheme="majorHAnsi" w:hAnsiTheme="majorHAnsi" w:cstheme="majorHAnsi"/>
          <w:sz w:val="22"/>
          <w:szCs w:val="22"/>
        </w:rPr>
        <w:t>Verificación de suficiencia de la muestra para cada actividad medida.</w:t>
      </w:r>
    </w:p>
    <w:p w14:paraId="54CA749E" w14:textId="77777777" w:rsidR="00230A8F" w:rsidRPr="00230A8F" w:rsidRDefault="00230A8F" w:rsidP="00230A8F">
      <w:pPr>
        <w:pStyle w:val="NormalWeb"/>
        <w:numPr>
          <w:ilvl w:val="0"/>
          <w:numId w:val="20"/>
        </w:numPr>
        <w:rPr>
          <w:rFonts w:asciiTheme="majorHAnsi" w:hAnsiTheme="majorHAnsi" w:cstheme="majorHAnsi"/>
          <w:sz w:val="22"/>
          <w:szCs w:val="22"/>
        </w:rPr>
      </w:pPr>
      <w:r>
        <w:rPr>
          <w:rFonts w:asciiTheme="majorHAnsi" w:hAnsiTheme="majorHAnsi" w:cstheme="majorHAnsi"/>
          <w:sz w:val="22"/>
          <w:szCs w:val="22"/>
        </w:rPr>
        <w:t>Exclusión de observaciones realizadas bajo condiciones anómalas o no representativas.</w:t>
      </w:r>
    </w:p>
    <w:p w14:paraId="75E8C622" w14:textId="77777777" w:rsidR="00230A8F" w:rsidRPr="00230A8F" w:rsidRDefault="00230A8F" w:rsidP="00230A8F">
      <w:pPr>
        <w:pStyle w:val="NormalWeb"/>
        <w:numPr>
          <w:ilvl w:val="0"/>
          <w:numId w:val="20"/>
        </w:numPr>
        <w:rPr>
          <w:rFonts w:asciiTheme="majorHAnsi" w:hAnsiTheme="majorHAnsi" w:cstheme="majorHAnsi"/>
          <w:sz w:val="22"/>
          <w:szCs w:val="22"/>
        </w:rPr>
      </w:pPr>
      <w:r>
        <w:rPr>
          <w:rFonts w:asciiTheme="majorHAnsi" w:hAnsiTheme="majorHAnsi" w:cstheme="majorHAnsi"/>
          <w:sz w:val="22"/>
          <w:szCs w:val="22"/>
        </w:rPr>
        <w:t>Identificación y registro de observaciones con datos incompletos o inconsistentes.</w:t>
      </w:r>
    </w:p>
    <w:p w14:paraId="7E060667" w14:textId="77777777" w:rsidR="00230A8F" w:rsidRPr="00230A8F" w:rsidRDefault="00230A8F" w:rsidP="00230A8F">
      <w:pPr>
        <w:pStyle w:val="NormalWeb"/>
        <w:rPr>
          <w:rFonts w:asciiTheme="majorHAnsi" w:hAnsiTheme="majorHAnsi" w:cstheme="majorHAnsi"/>
          <w:b/>
          <w:bCs/>
          <w:color w:val="31849B" w:themeColor="accent5" w:themeShade="BF"/>
          <w:sz w:val="22"/>
          <w:szCs w:val="22"/>
        </w:rPr>
      </w:pPr>
      <w:r>
        <w:rPr>
          <w:rStyle w:val="Fuerte"/>
          <w:rFonts w:asciiTheme="majorHAnsi" w:hAnsiTheme="majorHAnsi" w:cstheme="majorHAnsi"/>
          <w:b w:val="0"/>
          <w:bCs w:val="0"/>
          <w:color w:val="31849B" w:themeColor="accent5" w:themeShade="BF"/>
          <w:sz w:val="22"/>
          <w:szCs w:val="22"/>
        </w:rPr>
        <w:lastRenderedPageBreak/>
        <w:t>b) Clasificación de actividades</w:t>
      </w:r>
    </w:p>
    <w:p w14:paraId="48308797" w14:textId="77777777" w:rsidR="00230A8F" w:rsidRPr="00230A8F" w:rsidRDefault="00230A8F" w:rsidP="00230A8F">
      <w:pPr>
        <w:pStyle w:val="NormalWeb"/>
        <w:numPr>
          <w:ilvl w:val="0"/>
          <w:numId w:val="21"/>
        </w:numPr>
        <w:rPr>
          <w:rFonts w:asciiTheme="majorHAnsi" w:hAnsiTheme="majorHAnsi" w:cstheme="majorHAnsi"/>
          <w:sz w:val="22"/>
          <w:szCs w:val="22"/>
        </w:rPr>
      </w:pPr>
      <w:r>
        <w:rPr>
          <w:rFonts w:asciiTheme="majorHAnsi" w:hAnsiTheme="majorHAnsi" w:cstheme="majorHAnsi"/>
          <w:sz w:val="22"/>
          <w:szCs w:val="22"/>
        </w:rPr>
        <w:t>Revisión de la clasificación asignada a cada actividad (productiva, ocasional o búsqueda de oportunidad).</w:t>
      </w:r>
    </w:p>
    <w:p w14:paraId="08CE9489" w14:textId="77777777" w:rsidR="00230A8F" w:rsidRPr="00230A8F" w:rsidRDefault="00230A8F" w:rsidP="00230A8F">
      <w:pPr>
        <w:pStyle w:val="NormalWeb"/>
        <w:numPr>
          <w:ilvl w:val="0"/>
          <w:numId w:val="21"/>
        </w:numPr>
        <w:rPr>
          <w:rFonts w:asciiTheme="majorHAnsi" w:hAnsiTheme="majorHAnsi" w:cstheme="majorHAnsi"/>
          <w:sz w:val="22"/>
          <w:szCs w:val="22"/>
        </w:rPr>
      </w:pPr>
      <w:r>
        <w:rPr>
          <w:rFonts w:asciiTheme="majorHAnsi" w:hAnsiTheme="majorHAnsi" w:cstheme="majorHAnsi"/>
          <w:sz w:val="22"/>
          <w:szCs w:val="22"/>
        </w:rPr>
        <w:t>Identificación de actividades clasificadas de forma ambigua o que requieran criterio de clasificación adicional.</w:t>
      </w:r>
    </w:p>
    <w:p w14:paraId="7824F5BA" w14:textId="77777777" w:rsidR="00230A8F" w:rsidRPr="00230A8F" w:rsidRDefault="00230A8F" w:rsidP="00230A8F">
      <w:pPr>
        <w:pStyle w:val="NormalWeb"/>
        <w:numPr>
          <w:ilvl w:val="0"/>
          <w:numId w:val="21"/>
        </w:numPr>
        <w:rPr>
          <w:rFonts w:asciiTheme="majorHAnsi" w:hAnsiTheme="majorHAnsi" w:cstheme="majorHAnsi"/>
          <w:sz w:val="22"/>
          <w:szCs w:val="22"/>
        </w:rPr>
      </w:pPr>
      <w:r>
        <w:rPr>
          <w:rFonts w:asciiTheme="majorHAnsi" w:hAnsiTheme="majorHAnsi" w:cstheme="majorHAnsi"/>
          <w:sz w:val="22"/>
          <w:szCs w:val="22"/>
        </w:rPr>
        <w:t>Consistencia entre la clasificación asignada y la descripción de la actividad registrada.</w:t>
      </w:r>
    </w:p>
    <w:p w14:paraId="3CF3D5FC" w14:textId="77777777" w:rsidR="00230A8F" w:rsidRPr="00230A8F" w:rsidRDefault="00230A8F" w:rsidP="00230A8F">
      <w:pPr>
        <w:pStyle w:val="NormalWeb"/>
        <w:rPr>
          <w:rFonts w:asciiTheme="majorHAnsi" w:hAnsiTheme="majorHAnsi" w:cstheme="majorHAnsi"/>
          <w:b/>
          <w:bCs/>
          <w:color w:val="31849B" w:themeColor="accent5" w:themeShade="BF"/>
          <w:sz w:val="22"/>
          <w:szCs w:val="22"/>
        </w:rPr>
      </w:pPr>
      <w:r>
        <w:rPr>
          <w:rStyle w:val="Fuerte"/>
          <w:rFonts w:asciiTheme="majorHAnsi" w:hAnsiTheme="majorHAnsi" w:cstheme="majorHAnsi"/>
          <w:b w:val="0"/>
          <w:bCs w:val="0"/>
          <w:color w:val="31849B" w:themeColor="accent5" w:themeShade="BF"/>
          <w:sz w:val="22"/>
          <w:szCs w:val="22"/>
        </w:rPr>
        <w:t>c) Contraste con KPIs de referencia</w:t>
      </w:r>
    </w:p>
    <w:p w14:paraId="7164F04C" w14:textId="77777777" w:rsidR="00230A8F" w:rsidRPr="00230A8F" w:rsidRDefault="00230A8F" w:rsidP="00230A8F">
      <w:pPr>
        <w:pStyle w:val="NormalWeb"/>
        <w:numPr>
          <w:ilvl w:val="0"/>
          <w:numId w:val="22"/>
        </w:numPr>
        <w:rPr>
          <w:rFonts w:asciiTheme="majorHAnsi" w:hAnsiTheme="majorHAnsi" w:cstheme="majorHAnsi"/>
          <w:sz w:val="22"/>
          <w:szCs w:val="22"/>
        </w:rPr>
      </w:pPr>
      <w:r>
        <w:rPr>
          <w:rFonts w:asciiTheme="majorHAnsi" w:hAnsiTheme="majorHAnsi" w:cstheme="majorHAnsi"/>
          <w:sz w:val="22"/>
          <w:szCs w:val="22"/>
        </w:rPr>
        <w:t>Comparación de la distribución de tiempos observada con los estándares de rendimiento esperados del contrato.</w:t>
      </w:r>
    </w:p>
    <w:p w14:paraId="486385F3" w14:textId="77777777" w:rsidR="00230A8F" w:rsidRPr="00230A8F" w:rsidRDefault="00230A8F" w:rsidP="00230A8F">
      <w:pPr>
        <w:pStyle w:val="NormalWeb"/>
        <w:numPr>
          <w:ilvl w:val="0"/>
          <w:numId w:val="22"/>
        </w:numPr>
        <w:rPr>
          <w:rFonts w:asciiTheme="majorHAnsi" w:hAnsiTheme="majorHAnsi" w:cstheme="majorHAnsi"/>
          <w:sz w:val="22"/>
          <w:szCs w:val="22"/>
        </w:rPr>
      </w:pPr>
      <w:r>
        <w:rPr>
          <w:rFonts w:asciiTheme="majorHAnsi" w:hAnsiTheme="majorHAnsi" w:cstheme="majorHAnsi"/>
          <w:sz w:val="22"/>
          <w:szCs w:val="22"/>
        </w:rPr>
        <w:t>Identificación preliminar de las principales brechas entre la productividad real y la esperada.</w:t>
      </w:r>
    </w:p>
    <w:p w14:paraId="2D169C50" w14:textId="77777777" w:rsidR="00230A8F" w:rsidRPr="00230A8F" w:rsidRDefault="00230A8F" w:rsidP="00230A8F">
      <w:pPr>
        <w:pStyle w:val="NormalWeb"/>
        <w:rPr>
          <w:rFonts w:asciiTheme="majorHAnsi" w:hAnsiTheme="majorHAnsi" w:cstheme="majorHAnsi"/>
          <w:b/>
          <w:bCs/>
          <w:color w:val="31849B" w:themeColor="accent5" w:themeShade="BF"/>
          <w:sz w:val="22"/>
          <w:szCs w:val="22"/>
        </w:rPr>
      </w:pPr>
      <w:r>
        <w:rPr>
          <w:rStyle w:val="Fuerte"/>
          <w:rFonts w:asciiTheme="majorHAnsi" w:hAnsiTheme="majorHAnsi" w:cstheme="majorHAnsi"/>
          <w:b w:val="0"/>
          <w:bCs w:val="0"/>
          <w:color w:val="31849B" w:themeColor="accent5" w:themeShade="BF"/>
          <w:sz w:val="22"/>
          <w:szCs w:val="22"/>
        </w:rPr>
        <w:t>d) Cálculo del indicador ToT</w:t>
      </w:r>
    </w:p>
    <w:p w14:paraId="57776527" w14:textId="77777777" w:rsidR="00230A8F" w:rsidRPr="00230A8F" w:rsidRDefault="00230A8F" w:rsidP="00230A8F">
      <w:pPr>
        <w:pStyle w:val="NormalWeb"/>
        <w:numPr>
          <w:ilvl w:val="0"/>
          <w:numId w:val="23"/>
        </w:numPr>
        <w:rPr>
          <w:rFonts w:asciiTheme="majorHAnsi" w:hAnsiTheme="majorHAnsi" w:cstheme="majorHAnsi"/>
          <w:sz w:val="22"/>
          <w:szCs w:val="22"/>
        </w:rPr>
      </w:pPr>
      <w:r>
        <w:rPr>
          <w:rFonts w:asciiTheme="majorHAnsi" w:hAnsiTheme="majorHAnsi" w:cstheme="majorHAnsi"/>
          <w:sz w:val="22"/>
          <w:szCs w:val="22"/>
        </w:rPr>
        <w:t xml:space="preserve">Cálculo del porcentaje de tiempo productivo (ToT) sobre el tiempo total disponible, por trabajador, cuadrilla y proceso. </w:t>
      </w:r>
      <w:r>
        <w:rPr>
          <w:rStyle w:val="Fuerte"/>
          <w:rFonts w:asciiTheme="majorHAnsi" w:hAnsiTheme="majorHAnsi" w:cstheme="majorHAnsi"/>
          <w:b w:val="0"/>
          <w:bCs w:val="0"/>
          <w:sz w:val="22"/>
          <w:szCs w:val="22"/>
        </w:rPr>
        <w:t>E200</w:t>
      </w:r>
      <w:r>
        <w:rPr>
          <w:rFonts w:asciiTheme="majorHAnsi" w:hAnsiTheme="majorHAnsi" w:cstheme="majorHAnsi"/>
          <w:b/>
          <w:bCs/>
          <w:sz w:val="22"/>
          <w:szCs w:val="22"/>
        </w:rPr>
        <w:t>.</w:t>
      </w:r>
    </w:p>
    <w:p w14:paraId="1A707CEF" w14:textId="77777777" w:rsidR="00230A8F" w:rsidRPr="00230A8F" w:rsidRDefault="00230A8F" w:rsidP="00230A8F">
      <w:pPr>
        <w:pStyle w:val="NormalWeb"/>
        <w:numPr>
          <w:ilvl w:val="0"/>
          <w:numId w:val="23"/>
        </w:numPr>
        <w:rPr>
          <w:rFonts w:asciiTheme="majorHAnsi" w:hAnsiTheme="majorHAnsi" w:cstheme="majorHAnsi"/>
          <w:sz w:val="22"/>
          <w:szCs w:val="22"/>
        </w:rPr>
      </w:pPr>
      <w:r>
        <w:rPr>
          <w:rFonts w:asciiTheme="majorHAnsi" w:hAnsiTheme="majorHAnsi" w:cstheme="majorHAnsi"/>
          <w:sz w:val="22"/>
          <w:szCs w:val="22"/>
        </w:rPr>
        <w:t>Construcción de la línea base de productividad del contrato, desagregada por actividad y categoría de tiempo.</w:t>
      </w:r>
    </w:p>
    <w:p w14:paraId="63DB6E03" w14:textId="262BD3BA" w:rsidR="004F4085" w:rsidRDefault="00B86EF6" w:rsidP="00230A8F">
      <w:pPr>
        <w:pStyle w:val="NormalWeb"/>
        <w:rPr>
          <w:rFonts w:asciiTheme="majorHAnsi" w:hAnsiTheme="majorHAnsi" w:cstheme="majorHAnsi"/>
          <w:sz w:val="22"/>
          <w:szCs w:val="22"/>
        </w:rPr>
      </w:pPr>
      <w:r>
        <w:rPr>
          <w:rFonts w:asciiTheme="majorHAnsi" w:hAnsiTheme="majorHAnsi" w:cstheme="majorHAnsi"/>
          <w:sz w:val="22"/>
          <w:szCs w:val="22"/>
        </w:rPr>
        <w:t>En caso de detectarse inconsistencias relevantes en la base de medición que no puedan ser resueltas mediante revisión técnica, la medición deberá ser repetida parcialmente antes de continuar con el análisis, dejando registro de los criterios aplicados y las decisiones adoptadas.</w:t>
      </w:r>
    </w:p>
    <w:p w14:paraId="62760E80" w14:textId="77777777" w:rsidR="004F4085" w:rsidRDefault="004F4085" w:rsidP="00230A8F">
      <w:pPr>
        <w:pStyle w:val="NormalWeb"/>
        <w:rPr>
          <w:rFonts w:asciiTheme="majorHAnsi" w:hAnsiTheme="majorHAnsi" w:cstheme="majorHAnsi"/>
          <w:sz w:val="22"/>
          <w:szCs w:val="22"/>
        </w:rPr>
      </w:pPr>
    </w:p>
    <w:p w14:paraId="0F05962E" w14:textId="05FA4D7C" w:rsidR="00972BC7" w:rsidRPr="003B05D3" w:rsidRDefault="00972BC7" w:rsidP="00972BC7">
      <w:pPr>
        <w:pStyle w:val="Ttulo2"/>
        <w:jc w:val="both"/>
        <w:rPr>
          <w:rFonts w:asciiTheme="majorHAnsi" w:hAnsiTheme="majorHAnsi"/>
          <w:color w:val="31849B" w:themeColor="accent5" w:themeShade="BF"/>
          <w:sz w:val="22"/>
        </w:rPr>
      </w:pPr>
      <w:bookmarkStart w:id="14" w:name="_Toc224725691"/>
      <w:r>
        <w:rPr>
          <w:rFonts w:asciiTheme="majorHAnsi" w:hAnsiTheme="majorHAnsi"/>
          <w:color w:val="31849B" w:themeColor="accent5" w:themeShade="BF"/>
          <w:sz w:val="22"/>
        </w:rPr>
        <w:t>5.4 Análisis de flujo y desperdicios de proceso</w:t>
      </w:r>
      <w:bookmarkEnd w:id="14"/>
    </w:p>
    <w:p w14:paraId="2EDB8416" w14:textId="77777777" w:rsidR="001871AC" w:rsidRPr="001871AC" w:rsidRDefault="001871AC" w:rsidP="001871AC">
      <w:pPr>
        <w:pStyle w:val="NormalWeb"/>
        <w:rPr>
          <w:rFonts w:asciiTheme="majorHAnsi" w:hAnsiTheme="majorHAnsi" w:cstheme="majorHAnsi"/>
          <w:sz w:val="22"/>
          <w:szCs w:val="22"/>
        </w:rPr>
      </w:pPr>
      <w:r>
        <w:rPr>
          <w:rFonts w:asciiTheme="majorHAnsi" w:hAnsiTheme="majorHAnsi" w:cstheme="majorHAnsi"/>
          <w:sz w:val="22"/>
          <w:szCs w:val="22"/>
        </w:rPr>
        <w:t>Una vez calculado el indicador ToT y construida la línea base, GST procederá al análisis del flujo de proceso observado, con el objetivo de identificar ineficiencias, desperdicios y actividades sin valor agregado en la cadena operativa.</w:t>
      </w:r>
    </w:p>
    <w:p w14:paraId="36670886" w14:textId="77777777" w:rsidR="001871AC" w:rsidRPr="001871AC" w:rsidRDefault="001871AC" w:rsidP="001871AC">
      <w:pPr>
        <w:pStyle w:val="NormalWeb"/>
        <w:rPr>
          <w:rFonts w:asciiTheme="majorHAnsi" w:hAnsiTheme="majorHAnsi" w:cstheme="majorHAnsi"/>
          <w:sz w:val="22"/>
          <w:szCs w:val="22"/>
        </w:rPr>
      </w:pPr>
      <w:r>
        <w:rPr>
          <w:rFonts w:asciiTheme="majorHAnsi" w:hAnsiTheme="majorHAnsi" w:cstheme="majorHAnsi"/>
          <w:sz w:val="22"/>
          <w:szCs w:val="22"/>
        </w:rPr>
        <w:t>Este análisis deberá considerar, al menos:</w:t>
      </w:r>
    </w:p>
    <w:p w14:paraId="29BECFED" w14:textId="77777777" w:rsidR="001871AC" w:rsidRPr="001871AC" w:rsidRDefault="001871AC" w:rsidP="001871AC">
      <w:pPr>
        <w:pStyle w:val="NormalWeb"/>
        <w:rPr>
          <w:rFonts w:asciiTheme="majorHAnsi" w:hAnsiTheme="majorHAnsi" w:cstheme="majorHAnsi"/>
          <w:sz w:val="22"/>
          <w:szCs w:val="22"/>
        </w:rPr>
      </w:pPr>
      <w:r>
        <w:rPr>
          <w:rFonts w:asciiTheme="majorHAnsi" w:hAnsiTheme="majorHAnsi" w:cstheme="majorHAnsi"/>
          <w:sz w:val="22"/>
          <w:szCs w:val="22"/>
        </w:rPr>
        <w:t>• Mapeo del flujo real del proceso, identificando la secuencia de actividades, los tiempos asociados y los recursos involucrados.</w:t>
      </w:r>
      <w:r>
        <w:rPr>
          <w:rFonts w:asciiTheme="majorHAnsi" w:hAnsiTheme="majorHAnsi" w:cstheme="majorHAnsi"/>
          <w:sz w:val="22"/>
          <w:szCs w:val="22"/>
        </w:rPr>
        <w:br/>
        <w:t>• Detección de cuellos de botella, restricciones de acceso o secuencias de proceso ineficientes.</w:t>
      </w:r>
      <w:r>
        <w:rPr>
          <w:rFonts w:asciiTheme="majorHAnsi" w:hAnsiTheme="majorHAnsi" w:cstheme="majorHAnsi"/>
          <w:sz w:val="22"/>
          <w:szCs w:val="22"/>
        </w:rPr>
        <w:br/>
        <w:t>• Comparación del flujo real con el flujo esperado o estándar del contrato, cuando este exista.</w:t>
      </w:r>
    </w:p>
    <w:p w14:paraId="183B895F" w14:textId="77777777" w:rsidR="001871AC" w:rsidRPr="001871AC" w:rsidRDefault="001871AC" w:rsidP="001871AC">
      <w:pPr>
        <w:pStyle w:val="NormalWeb"/>
        <w:rPr>
          <w:rFonts w:asciiTheme="majorHAnsi" w:hAnsiTheme="majorHAnsi" w:cstheme="majorHAnsi"/>
          <w:sz w:val="22"/>
          <w:szCs w:val="22"/>
        </w:rPr>
      </w:pPr>
      <w:r>
        <w:rPr>
          <w:rFonts w:asciiTheme="majorHAnsi" w:hAnsiTheme="majorHAnsi" w:cstheme="majorHAnsi"/>
          <w:sz w:val="22"/>
          <w:szCs w:val="22"/>
        </w:rPr>
        <w:t>El objetivo de esta etapa es identificar las principales fuentes de pérdida de productividad en el proceso, distinguiendo entre factores operativos, organizacionales y de diseño de proceso, como base para la determinación de causas y la priorización de iniciativas de mejora.</w:t>
      </w:r>
    </w:p>
    <w:p w14:paraId="7549105C" w14:textId="67BD0497" w:rsidR="00972BC7" w:rsidRPr="00230A8F" w:rsidRDefault="001871AC" w:rsidP="00230A8F">
      <w:pPr>
        <w:pStyle w:val="NormalWeb"/>
        <w:rPr>
          <w:rFonts w:asciiTheme="majorHAnsi" w:hAnsiTheme="majorHAnsi" w:cstheme="majorHAnsi"/>
          <w:sz w:val="22"/>
          <w:szCs w:val="22"/>
        </w:rPr>
      </w:pPr>
      <w:r>
        <w:rPr>
          <w:rFonts w:asciiTheme="majorHAnsi" w:hAnsiTheme="majorHAnsi" w:cstheme="majorHAnsi"/>
          <w:sz w:val="22"/>
          <w:szCs w:val="22"/>
        </w:rPr>
        <w:t xml:space="preserve">Los resultados del análisis de flujo deberán ser documentados de forma estructurada, identificando los desperdicios detectados, su impacto estimado en la productividad y su relación con las brechas cuantificadas en la medición ToT. </w:t>
      </w:r>
      <w:r>
        <w:rPr>
          <w:rFonts w:asciiTheme="majorHAnsi" w:hAnsiTheme="majorHAnsi" w:cstheme="majorHAnsi"/>
          <w:sz w:val="22"/>
          <w:szCs w:val="22"/>
          <w:lang w:val="es"/>
        </w:rPr>
        <w:t>En caso de identificarse restricciones externas al proceso analizado que no puedan ser resueltas en el ámbito del contrato, estas deberán ser destacadas explícitamente en el diagnóstico y escaladas a las instancias de gestión correspondientes.</w:t>
      </w:r>
    </w:p>
    <w:p w14:paraId="03C35292" w14:textId="77777777" w:rsidR="00E6321A" w:rsidRPr="003B05D3" w:rsidRDefault="00D5319C" w:rsidP="003B05D3">
      <w:pPr>
        <w:pStyle w:val="Ttulo2"/>
        <w:jc w:val="both"/>
        <w:rPr>
          <w:rFonts w:asciiTheme="majorHAnsi" w:hAnsiTheme="majorHAnsi"/>
          <w:color w:val="31849B" w:themeColor="accent5" w:themeShade="BF"/>
          <w:sz w:val="22"/>
        </w:rPr>
      </w:pPr>
      <w:bookmarkStart w:id="15" w:name="_Toc224725692"/>
      <w:r>
        <w:rPr>
          <w:rFonts w:asciiTheme="majorHAnsi" w:hAnsiTheme="majorHAnsi"/>
          <w:color w:val="31849B" w:themeColor="accent5" w:themeShade="BF"/>
          <w:sz w:val="22"/>
        </w:rPr>
        <w:lastRenderedPageBreak/>
        <w:t>5.5 Identificación de brechas de productividad</w:t>
      </w:r>
      <w:bookmarkEnd w:id="15"/>
    </w:p>
    <w:p w14:paraId="117DAA8C" w14:textId="6AC2BDBD" w:rsidR="00E6321A" w:rsidRDefault="00E6321A" w:rsidP="003B05D3">
      <w:pPr>
        <w:rPr>
          <w:rFonts w:asciiTheme="majorHAnsi" w:hAnsiTheme="majorHAnsi" w:cstheme="majorHAnsi"/>
          <w:lang w:val="es-CL"/>
        </w:rPr>
      </w:pPr>
      <w:r>
        <w:rPr>
          <w:rFonts w:asciiTheme="majorHAnsi" w:hAnsiTheme="majorHAnsi" w:cstheme="majorHAnsi"/>
          <w:lang w:val="es-CL"/>
        </w:rPr>
        <w:t xml:space="preserve">A partir de la línea base ToT construida y el análisis de flujo ejecutado, GST procederá a identificar y cuantificar las brechas de productividad del contrato, comparando la ejecución real con los KPIs de referencia y los estándares de rendimiento esperados. Esta etapa considera </w:t>
      </w:r>
      <w:commentRangeStart w:id="16"/>
      <w:r>
        <w:rPr>
          <w:rFonts w:asciiTheme="majorHAnsi" w:hAnsiTheme="majorHAnsi" w:cstheme="majorHAnsi"/>
          <w:lang w:val="es-CL"/>
        </w:rPr>
        <w:t>el contraste sistemático entre lo observado y lo esperado, por actividad, cuadrilla y proceso.</w:t>
      </w:r>
      <w:commentRangeEnd w:id="16"/>
      <w:r>
        <w:rPr>
          <w:rStyle w:val="Refdecomentario"/>
          <w:rFonts w:asciiTheme="majorHAnsi" w:hAnsiTheme="majorHAnsi" w:cstheme="majorHAnsi"/>
          <w:sz w:val="22"/>
          <w:szCs w:val="22"/>
          <w:lang w:val="es-CL"/>
        </w:rPr>
        <w:commentReference w:id="16"/>
      </w:r>
    </w:p>
    <w:p w14:paraId="5B7247A2" w14:textId="77777777" w:rsidR="00E6321A" w:rsidRPr="00E6321A" w:rsidRDefault="00E6321A" w:rsidP="003B05D3">
      <w:pPr>
        <w:rPr>
          <w:rFonts w:asciiTheme="majorHAnsi" w:hAnsiTheme="majorHAnsi" w:cstheme="majorHAnsi"/>
          <w:lang w:val="es-CL"/>
        </w:rPr>
      </w:pPr>
    </w:p>
    <w:p w14:paraId="1D048192" w14:textId="77777777" w:rsidR="00E6321A" w:rsidRPr="00E6321A" w:rsidRDefault="00E6321A" w:rsidP="003B05D3">
      <w:pPr>
        <w:rPr>
          <w:rFonts w:asciiTheme="majorHAnsi" w:hAnsiTheme="majorHAnsi" w:cstheme="majorHAnsi"/>
          <w:lang w:val="es-CL"/>
        </w:rPr>
      </w:pPr>
      <w:r>
        <w:rPr>
          <w:rFonts w:asciiTheme="majorHAnsi" w:hAnsiTheme="majorHAnsi" w:cstheme="majorHAnsi"/>
          <w:lang w:val="es-CL"/>
        </w:rPr>
        <w:t>GST deberá cuantificar las brechas identificadas, asegurando:</w:t>
      </w:r>
    </w:p>
    <w:p w14:paraId="50EB872B" w14:textId="77777777" w:rsidR="00E6321A" w:rsidRPr="00E6321A" w:rsidRDefault="00E6321A" w:rsidP="003B05D3">
      <w:pPr>
        <w:numPr>
          <w:ilvl w:val="0"/>
          <w:numId w:val="16"/>
        </w:numPr>
        <w:rPr>
          <w:rFonts w:asciiTheme="majorHAnsi" w:hAnsiTheme="majorHAnsi" w:cstheme="majorHAnsi"/>
          <w:lang w:val="es-CL"/>
        </w:rPr>
      </w:pPr>
      <w:r>
        <w:rPr>
          <w:rFonts w:asciiTheme="majorHAnsi" w:hAnsiTheme="majorHAnsi" w:cstheme="majorHAnsi"/>
          <w:lang w:val="es-CL"/>
        </w:rPr>
        <w:t>expresión de las brechas en términos de FTE, tiempo productivo y costo potencial de la ineficiencia</w:t>
      </w:r>
    </w:p>
    <w:p w14:paraId="76AD613F" w14:textId="77777777" w:rsidR="00E6321A" w:rsidRPr="00E6321A" w:rsidRDefault="00E6321A" w:rsidP="003B05D3">
      <w:pPr>
        <w:numPr>
          <w:ilvl w:val="0"/>
          <w:numId w:val="16"/>
        </w:numPr>
        <w:rPr>
          <w:rFonts w:asciiTheme="majorHAnsi" w:hAnsiTheme="majorHAnsi" w:cstheme="majorHAnsi"/>
          <w:lang w:val="es-CL"/>
        </w:rPr>
      </w:pPr>
      <w:r>
        <w:rPr>
          <w:rFonts w:asciiTheme="majorHAnsi" w:hAnsiTheme="majorHAnsi" w:cstheme="majorHAnsi"/>
          <w:lang w:val="es-CL"/>
        </w:rPr>
        <w:t>priorización de las brechas según magnitud e impacto operativo</w:t>
      </w:r>
    </w:p>
    <w:p w14:paraId="7478ABEA" w14:textId="77777777" w:rsidR="00E6321A" w:rsidRPr="00E6321A" w:rsidRDefault="00E6321A" w:rsidP="003B05D3">
      <w:pPr>
        <w:numPr>
          <w:ilvl w:val="0"/>
          <w:numId w:val="16"/>
        </w:numPr>
        <w:rPr>
          <w:rFonts w:asciiTheme="majorHAnsi" w:hAnsiTheme="majorHAnsi" w:cstheme="majorHAnsi"/>
          <w:lang w:val="es-CL"/>
        </w:rPr>
      </w:pPr>
      <w:r>
        <w:rPr>
          <w:rFonts w:asciiTheme="majorHAnsi" w:hAnsiTheme="majorHAnsi" w:cstheme="majorHAnsi"/>
          <w:lang w:val="es-CL"/>
        </w:rPr>
        <w:t>distinción entre brechas puntuales y brechas estructurales del proceso</w:t>
      </w:r>
    </w:p>
    <w:p w14:paraId="707389C4" w14:textId="3CA17BB1" w:rsidR="00E6321A" w:rsidRPr="00E6321A" w:rsidRDefault="00E6321A" w:rsidP="003B05D3">
      <w:pPr>
        <w:rPr>
          <w:rFonts w:asciiTheme="majorHAnsi" w:hAnsiTheme="majorHAnsi" w:cstheme="majorHAnsi"/>
          <w:lang w:val="es-CL"/>
        </w:rPr>
      </w:pPr>
      <w:r>
        <w:rPr>
          <w:rFonts w:asciiTheme="majorHAnsi" w:hAnsiTheme="majorHAnsi" w:cstheme="majorHAnsi"/>
          <w:lang w:val="es-CL"/>
        </w:rPr>
        <w:t>Las brechas identificadas y cuantificadas constituirán el insumo principal para la determinación de causas y la priorización de iniciativas de mejora.</w:t>
      </w:r>
    </w:p>
    <w:p w14:paraId="12D3D22B" w14:textId="77777777" w:rsidR="00CF0D2A" w:rsidRPr="003B05D3" w:rsidRDefault="00D5319C" w:rsidP="003B05D3">
      <w:pPr>
        <w:pStyle w:val="Ttulo2"/>
        <w:jc w:val="both"/>
        <w:rPr>
          <w:rFonts w:asciiTheme="majorHAnsi" w:hAnsiTheme="majorHAnsi"/>
          <w:color w:val="31849B" w:themeColor="accent5" w:themeShade="BF"/>
          <w:sz w:val="22"/>
        </w:rPr>
      </w:pPr>
      <w:bookmarkStart w:id="17" w:name="_Toc224725693"/>
      <w:r>
        <w:rPr>
          <w:rFonts w:asciiTheme="majorHAnsi" w:hAnsiTheme="majorHAnsi"/>
          <w:color w:val="31849B" w:themeColor="accent5" w:themeShade="BF"/>
          <w:sz w:val="22"/>
        </w:rPr>
        <w:t>5.6 Determinación de causas directas y raíz</w:t>
      </w:r>
      <w:bookmarkEnd w:id="17"/>
    </w:p>
    <w:p w14:paraId="1139646A" w14:textId="6D13A091" w:rsidR="00CF0D2A" w:rsidRDefault="00CF0D2A" w:rsidP="003B05D3">
      <w:pPr>
        <w:rPr>
          <w:rFonts w:asciiTheme="majorHAnsi" w:hAnsiTheme="majorHAnsi" w:cstheme="majorHAnsi"/>
          <w:lang w:val="es-CL"/>
        </w:rPr>
      </w:pPr>
      <w:r>
        <w:rPr>
          <w:rFonts w:asciiTheme="majorHAnsi" w:hAnsiTheme="majorHAnsi" w:cstheme="majorHAnsi"/>
          <w:lang w:val="es-CL"/>
        </w:rPr>
        <w:t>Una vez cuantificadas las brechas de productividad, el equipo multidisciplinario conformado por GST, AdC y ATOS procederá a la determinación de las causas directas y raíz que explican las ineficiencias identificadas.</w:t>
      </w:r>
    </w:p>
    <w:p w14:paraId="2007BA74" w14:textId="77777777" w:rsidR="00CF0D2A" w:rsidRPr="00CF0D2A" w:rsidRDefault="00CF0D2A" w:rsidP="003B05D3">
      <w:pPr>
        <w:rPr>
          <w:rFonts w:asciiTheme="majorHAnsi" w:hAnsiTheme="majorHAnsi" w:cstheme="majorHAnsi"/>
          <w:lang w:val="es-CL"/>
        </w:rPr>
      </w:pPr>
    </w:p>
    <w:p w14:paraId="61CDE663" w14:textId="6EF5DB0D" w:rsidR="00CF0D2A" w:rsidRDefault="00CF0D2A" w:rsidP="003B05D3">
      <w:pPr>
        <w:rPr>
          <w:rFonts w:asciiTheme="majorHAnsi" w:hAnsiTheme="majorHAnsi" w:cstheme="majorHAnsi"/>
          <w:lang w:val="es-CL"/>
        </w:rPr>
      </w:pPr>
      <w:r>
        <w:rPr>
          <w:rFonts w:asciiTheme="majorHAnsi" w:hAnsiTheme="majorHAnsi" w:cstheme="majorHAnsi"/>
          <w:lang w:val="es-CL"/>
        </w:rPr>
        <w:t>GST liderará la sesión de análisis causal, utilizando las herramientas metodológicas pertinentes (árbol de causas, diagrama de Ishikawa u otras) para estructurar la identificación de causas, distinguiendo entre factores directos observables y causas raíz de carácter sistémico o estructural.</w:t>
      </w:r>
    </w:p>
    <w:p w14:paraId="3C0E42B2" w14:textId="77777777" w:rsidR="00CF0D2A" w:rsidRPr="00CF0D2A" w:rsidRDefault="00CF0D2A" w:rsidP="003B05D3">
      <w:pPr>
        <w:rPr>
          <w:rFonts w:asciiTheme="majorHAnsi" w:hAnsiTheme="majorHAnsi" w:cstheme="majorHAnsi"/>
          <w:lang w:val="es-CL"/>
        </w:rPr>
      </w:pPr>
    </w:p>
    <w:p w14:paraId="1FC6104D" w14:textId="78DD409F" w:rsidR="00CF0D2A" w:rsidRPr="00CF0D2A" w:rsidRDefault="00CF0D2A" w:rsidP="003B05D3">
      <w:pPr>
        <w:rPr>
          <w:rFonts w:asciiTheme="majorHAnsi" w:hAnsiTheme="majorHAnsi" w:cstheme="majorHAnsi"/>
          <w:lang w:val="es-CL"/>
        </w:rPr>
      </w:pPr>
      <w:r>
        <w:rPr>
          <w:rFonts w:asciiTheme="majorHAnsi" w:hAnsiTheme="majorHAnsi" w:cstheme="majorHAnsi"/>
          <w:lang w:val="es-CL"/>
        </w:rPr>
        <w:t>El objetivo de esta etapa es construir una explicación causal sólida y basada en evidencia que sustente la priorización de oportunidades de mejora y evite la implementación de soluciones sobre síntomas en lugar de causas reales.</w:t>
      </w:r>
    </w:p>
    <w:p w14:paraId="4C24284B" w14:textId="5B64BD93" w:rsidR="00BF5BB2" w:rsidRPr="00BF5BB2" w:rsidRDefault="00D5319C" w:rsidP="00BF5BB2">
      <w:pPr>
        <w:pStyle w:val="Ttulo2"/>
        <w:spacing w:before="0"/>
        <w:jc w:val="both"/>
        <w:rPr>
          <w:rFonts w:asciiTheme="majorHAnsi" w:hAnsiTheme="majorHAnsi"/>
          <w:color w:val="31849B" w:themeColor="accent5" w:themeShade="BF"/>
          <w:sz w:val="22"/>
        </w:rPr>
      </w:pPr>
      <w:bookmarkStart w:id="18" w:name="_Toc224725694"/>
      <w:r>
        <w:rPr>
          <w:rFonts w:asciiTheme="majorHAnsi" w:hAnsiTheme="majorHAnsi"/>
          <w:color w:val="31849B" w:themeColor="accent5" w:themeShade="BF"/>
          <w:sz w:val="22"/>
        </w:rPr>
        <w:t>5.7 Definición de oportunidades de mejora</w:t>
      </w:r>
      <w:bookmarkEnd w:id="18"/>
    </w:p>
    <w:p w14:paraId="5EABFCDD" w14:textId="09BF4FCA" w:rsidR="00BF5BB2" w:rsidRDefault="00BF5BB2" w:rsidP="00D368B9">
      <w:pPr>
        <w:rPr>
          <w:rFonts w:asciiTheme="majorHAnsi" w:hAnsiTheme="majorHAnsi" w:cstheme="majorHAnsi"/>
          <w:lang w:val="es-CL"/>
        </w:rPr>
      </w:pPr>
      <w:r>
        <w:rPr>
          <w:rFonts w:asciiTheme="majorHAnsi" w:hAnsiTheme="majorHAnsi" w:cstheme="majorHAnsi"/>
          <w:lang w:val="es-CL"/>
        </w:rPr>
        <w:t>Sobre la base del análisis causal, GST elaborará una lista de oportunidades de mejora priorizadas, considerando su impacto potencial en la productividad del proceso, su factibilidad de implementación y los recursos requeridos para su ejecución.</w:t>
      </w:r>
    </w:p>
    <w:p w14:paraId="4425C381" w14:textId="77777777" w:rsidR="00D368B9" w:rsidRPr="00D368B9" w:rsidRDefault="00D368B9" w:rsidP="00D368B9">
      <w:pPr>
        <w:rPr>
          <w:rFonts w:asciiTheme="majorHAnsi" w:hAnsiTheme="majorHAnsi" w:cstheme="majorHAnsi"/>
          <w:lang w:val="es-CL"/>
        </w:rPr>
      </w:pPr>
    </w:p>
    <w:p w14:paraId="209546B2" w14:textId="106F8DE3" w:rsidR="00BF5BB2" w:rsidRDefault="00BF5BB2" w:rsidP="00D368B9">
      <w:pPr>
        <w:rPr>
          <w:rFonts w:asciiTheme="majorHAnsi" w:hAnsiTheme="majorHAnsi" w:cstheme="majorHAnsi"/>
          <w:lang w:val="es-CL"/>
        </w:rPr>
      </w:pPr>
      <w:r>
        <w:rPr>
          <w:rFonts w:asciiTheme="majorHAnsi" w:hAnsiTheme="majorHAnsi" w:cstheme="majorHAnsi"/>
          <w:lang w:val="es-CL"/>
        </w:rPr>
        <w:t>Cada oportunidad de mejora deberá quedar descrita en términos de la brecha que aborda, la causa raíz que resuelve, el impacto esperado expresado en indicadores cuantificables y el responsable de su implementación.</w:t>
      </w:r>
    </w:p>
    <w:p w14:paraId="71C905C2" w14:textId="77777777" w:rsidR="00D368B9" w:rsidRPr="00D368B9" w:rsidRDefault="00D368B9" w:rsidP="00D368B9">
      <w:pPr>
        <w:rPr>
          <w:rFonts w:asciiTheme="majorHAnsi" w:hAnsiTheme="majorHAnsi" w:cstheme="majorHAnsi"/>
          <w:lang w:val="es-CL"/>
        </w:rPr>
      </w:pPr>
    </w:p>
    <w:p w14:paraId="4B7AA0B7" w14:textId="77777777" w:rsidR="005C65B6" w:rsidRPr="00D368B9" w:rsidRDefault="005C65B6" w:rsidP="00D368B9">
      <w:pPr>
        <w:rPr>
          <w:rFonts w:asciiTheme="majorHAnsi" w:hAnsiTheme="majorHAnsi" w:cstheme="majorHAnsi"/>
          <w:lang w:val="es-CL"/>
        </w:rPr>
      </w:pPr>
      <w:r>
        <w:rPr>
          <w:rFonts w:asciiTheme="majorHAnsi" w:hAnsiTheme="majorHAnsi" w:cstheme="majorHAnsi"/>
          <w:lang w:val="es-CL"/>
        </w:rPr>
        <w:t>La lista de iniciativas constituirá la base para la elaboración del plan de mejora del contrato y será incorporada al informe de diagnóstico como entregable oficial del proceso.</w:t>
      </w:r>
    </w:p>
    <w:p w14:paraId="15AA106D" w14:textId="13BCC267" w:rsidR="00D5319C" w:rsidRPr="003B05D3" w:rsidRDefault="00D5319C" w:rsidP="00BF5BB2">
      <w:pPr>
        <w:pStyle w:val="Ttulo2"/>
        <w:jc w:val="both"/>
        <w:rPr>
          <w:rFonts w:asciiTheme="majorHAnsi" w:hAnsiTheme="majorHAnsi"/>
          <w:color w:val="31849B" w:themeColor="accent5" w:themeShade="BF"/>
          <w:sz w:val="22"/>
        </w:rPr>
      </w:pPr>
      <w:bookmarkStart w:id="19" w:name="_Toc_new_58"/>
      <w:r>
        <w:rPr>
          <w:rFonts w:asciiTheme="majorHAnsi" w:hAnsiTheme="majorHAnsi"/>
          <w:color w:val="31849B" w:themeColor="accent5" w:themeShade="BF"/>
          <w:sz w:val="22"/>
        </w:rPr>
        <w:t>5.8 Revisión interna de consistencia del diagnóstico</w:t>
      </w:r>
      <w:bookmarkEnd w:id="19"/>
    </w:p>
    <w:p w14:paraId="1A2B3C01" w14:textId="77777777" w:rsidR="00DB315B" w:rsidRDefault="00DB315B" w:rsidP="003B05D3">
      <w:pPr>
        <w:rPr>
          <w:rFonts w:asciiTheme="majorHAnsi" w:hAnsiTheme="majorHAnsi" w:cstheme="majorHAnsi"/>
          <w:lang w:val="es-CL"/>
        </w:rPr>
      </w:pPr>
      <w:r>
        <w:rPr>
          <w:rFonts w:asciiTheme="majorHAnsi" w:hAnsiTheme="majorHAnsi" w:cstheme="majorHAnsi"/>
          <w:lang w:val="es-CL"/>
        </w:rPr>
        <w:t>Previo a la validación formal del diagnóstico con el AdC, GST realizará una revisión interna de consistencia del análisis ejecutado, verificando que la línea base ToT, el análisis de flujo, las brechas cuantificadas y las causas identificadas sean coherentes entre sí y estén respaldadas por la evidencia levantada en terreno.</w:t>
      </w:r>
    </w:p>
    <w:p w14:paraId="1A2B3C02" w14:textId="77777777" w:rsidR="00DB315B" w:rsidRDefault="00DB315B" w:rsidP="003B05D3">
      <w:pPr>
        <w:rPr>
          <w:rFonts w:asciiTheme="majorHAnsi" w:hAnsiTheme="majorHAnsi" w:cstheme="majorHAnsi"/>
          <w:lang w:val="es-CL"/>
        </w:rPr>
      </w:pPr>
      <w:r>
        <w:rPr>
          <w:rFonts w:asciiTheme="majorHAnsi" w:hAnsiTheme="majorHAnsi" w:cstheme="majorHAnsi"/>
          <w:lang w:val="es-CL"/>
        </w:rPr>
        <w:lastRenderedPageBreak/>
        <w:t>Esta revisión tiene por objetivo asegurar la solidez del diagnóstico antes de su presentación al AdC, identificar eventuales inconsistencias o vacíos analíticos y preparar los antecedentes necesarios para fundamentar las oportunidades de mejora propuestas.</w:t>
      </w:r>
    </w:p>
    <w:p w14:paraId="1A2B3C03" w14:textId="77777777" w:rsidR="00DB315B" w:rsidRDefault="00DB315B" w:rsidP="003B05D3">
      <w:pPr>
        <w:rPr>
          <w:rFonts w:asciiTheme="majorHAnsi" w:hAnsiTheme="majorHAnsi" w:cstheme="majorHAnsi"/>
          <w:lang w:val="es-CL"/>
        </w:rPr>
      </w:pPr>
      <w:r>
        <w:rPr>
          <w:rFonts w:asciiTheme="majorHAnsi" w:hAnsiTheme="majorHAnsi" w:cstheme="majorHAnsi"/>
          <w:lang w:val="es-CL"/>
        </w:rPr>
        <w:t>Los resultados de esta revisión interna deberán quedar registrados en la carpeta oficial del diagnóstico y constituirán el insumo base para la sesión de validación con el AdC.</w:t>
      </w:r>
    </w:p>
    <w:p w14:paraId="1A2B3C04" w14:textId="77777777" w:rsidR="00DB315B" w:rsidRDefault="00DB315B" w:rsidP="00D368B9">
      <w:pPr>
        <w:pStyle w:val="Ttulo2"/>
        <w:jc w:val="both"/>
        <w:rPr>
          <w:rFonts w:asciiTheme="majorHAnsi" w:hAnsiTheme="majorHAnsi"/>
          <w:color w:val="31849B" w:themeColor="accent5" w:themeShade="BF"/>
          <w:sz w:val="22"/>
        </w:rPr>
      </w:pPr>
      <w:bookmarkStart w:id="20" w:name="_Toc224725696_new"/>
      <w:r>
        <w:rPr>
          <w:rFonts w:asciiTheme="majorHAnsi" w:hAnsiTheme="majorHAnsi"/>
          <w:color w:val="31849B" w:themeColor="accent5" w:themeShade="BF"/>
          <w:sz w:val="22"/>
        </w:rPr>
        <w:t>5.9 Validación del diagnóstico con el AdC</w:t>
      </w:r>
      <w:bookmarkEnd w:id="20"/>
    </w:p>
    <w:p w14:paraId="2A511C9E" w14:textId="1C8314C7" w:rsidR="00880A91" w:rsidRDefault="00880A91" w:rsidP="003B05D3">
      <w:pPr>
        <w:rPr>
          <w:rFonts w:asciiTheme="majorHAnsi" w:hAnsiTheme="majorHAnsi" w:cstheme="majorHAnsi"/>
          <w:lang w:val="es-CL"/>
        </w:rPr>
      </w:pPr>
      <w:r>
        <w:rPr>
          <w:rFonts w:asciiTheme="majorHAnsi" w:hAnsiTheme="majorHAnsi" w:cstheme="majorHAnsi"/>
          <w:lang w:val="es-CL"/>
        </w:rPr>
        <w:t>Una vez completado el análisis interno, GST presentará el diagnóstico de productividad al AdC MLP para su revisión y validación desde la perspectiva operativa y contractual del servicio.</w:t>
      </w:r>
    </w:p>
    <w:p w14:paraId="24C2933F" w14:textId="77777777" w:rsidR="00880A91" w:rsidRPr="00880A91" w:rsidRDefault="00880A91" w:rsidP="003B05D3">
      <w:pPr>
        <w:rPr>
          <w:rFonts w:asciiTheme="majorHAnsi" w:hAnsiTheme="majorHAnsi" w:cstheme="majorHAnsi"/>
          <w:lang w:val="es-CL"/>
        </w:rPr>
      </w:pPr>
    </w:p>
    <w:p w14:paraId="0EF8E314" w14:textId="3055468C" w:rsidR="00880A91" w:rsidRDefault="0086029A" w:rsidP="0086029A">
      <w:pPr>
        <w:rPr>
          <w:rFonts w:asciiTheme="majorHAnsi" w:hAnsiTheme="majorHAnsi" w:cstheme="majorHAnsi"/>
          <w:lang w:val="es-CL"/>
        </w:rPr>
      </w:pPr>
      <w:r>
        <w:rPr>
          <w:rFonts w:asciiTheme="majorHAnsi" w:hAnsiTheme="majorHAnsi" w:cstheme="majorHAnsi"/>
          <w:lang w:val="es-CL"/>
        </w:rPr>
        <w:t>El AdC deberá pronunciarse sobre la representatividad de las condiciones observadas en terreno, la validez de las causas identificadas desde la perspectiva operativa y la factibilidad de las oportunidades de mejora propuestas. Sus observaciones deberán ser incorporadas al diagnóstico o respondidas con fundamento técnico por GST.</w:t>
      </w:r>
    </w:p>
    <w:p w14:paraId="431A683D" w14:textId="77777777" w:rsidR="0086029A" w:rsidRPr="00880A91" w:rsidRDefault="0086029A" w:rsidP="0086029A">
      <w:pPr>
        <w:rPr>
          <w:rFonts w:asciiTheme="majorHAnsi" w:hAnsiTheme="majorHAnsi" w:cstheme="majorHAnsi"/>
          <w:lang w:val="es-CL"/>
        </w:rPr>
      </w:pPr>
    </w:p>
    <w:p w14:paraId="1C60D20D" w14:textId="0BB3BDC7" w:rsidR="00880A91" w:rsidRPr="00880A91" w:rsidRDefault="00880A91" w:rsidP="003B05D3">
      <w:pPr>
        <w:rPr>
          <w:rFonts w:asciiTheme="majorHAnsi" w:hAnsiTheme="majorHAnsi" w:cstheme="majorHAnsi"/>
          <w:lang w:val="es-CL"/>
        </w:rPr>
      </w:pPr>
      <w:r>
        <w:rPr>
          <w:rFonts w:asciiTheme="majorHAnsi" w:hAnsiTheme="majorHAnsi" w:cstheme="majorHAnsi"/>
          <w:lang w:val="es-CL"/>
        </w:rPr>
        <w:t>La validación del AdC no implica aceptación automática de todas las iniciativas propuestas, sino que constituye un insumo esencial para asegurar que el diagnóstico refleje fielmente la realidad operativa del contrato y que las oportunidades de mejora sean técnicamente viables en el contexto de su ejecución.</w:t>
      </w:r>
    </w:p>
    <w:p w14:paraId="323A3F97" w14:textId="77777777" w:rsidR="00D5319C" w:rsidRPr="003B05D3" w:rsidRDefault="00D5319C" w:rsidP="003B05D3">
      <w:pPr>
        <w:pStyle w:val="Ttulo2"/>
        <w:jc w:val="both"/>
        <w:rPr>
          <w:rFonts w:asciiTheme="majorHAnsi" w:hAnsiTheme="majorHAnsi"/>
          <w:color w:val="31849B" w:themeColor="accent5" w:themeShade="BF"/>
          <w:sz w:val="22"/>
        </w:rPr>
      </w:pPr>
      <w:bookmarkStart w:id="21" w:name="_Toc224725696"/>
      <w:r>
        <w:rPr>
          <w:rFonts w:asciiTheme="majorHAnsi" w:hAnsiTheme="majorHAnsi"/>
          <w:color w:val="31849B" w:themeColor="accent5" w:themeShade="BF"/>
          <w:sz w:val="22"/>
        </w:rPr>
        <w:t>5.10 Clasificación y priorización de iniciativas</w:t>
      </w:r>
      <w:bookmarkEnd w:id="21"/>
    </w:p>
    <w:p w14:paraId="01D7DE92" w14:textId="77777777" w:rsidR="00A16D82" w:rsidRDefault="00A16D82" w:rsidP="003B05D3">
      <w:pPr>
        <w:rPr>
          <w:rFonts w:asciiTheme="majorHAnsi" w:hAnsiTheme="majorHAnsi" w:cstheme="majorHAnsi"/>
          <w:lang w:val="es-CL"/>
        </w:rPr>
      </w:pPr>
      <w:r>
        <w:rPr>
          <w:rFonts w:asciiTheme="majorHAnsi" w:hAnsiTheme="majorHAnsi" w:cstheme="majorHAnsi"/>
          <w:lang w:val="es-CL"/>
        </w:rPr>
        <w:t>Sobre la base del diagnóstico validado, GST procederá a clasificar y priorizar las oportunidades de mejora identificadas conforme a su impacto potencial en la productividad, su complejidad de implementación y su alineación con los objetivos del contrato. Esta clasificación permite determinar el tipo de acción que corresponde aplicar en cada caso.</w:t>
      </w:r>
    </w:p>
    <w:p w14:paraId="526D5055" w14:textId="77777777" w:rsidR="00720794" w:rsidRPr="00A16D82" w:rsidRDefault="00720794" w:rsidP="003B05D3">
      <w:pPr>
        <w:rPr>
          <w:rFonts w:asciiTheme="majorHAnsi" w:hAnsiTheme="majorHAnsi" w:cstheme="majorHAnsi"/>
          <w:lang w:val="es-CL"/>
        </w:rPr>
      </w:pPr>
    </w:p>
    <w:p w14:paraId="282D19AA" w14:textId="061E0B78" w:rsidR="00D5319C" w:rsidRPr="00A16D82" w:rsidRDefault="00A16D82" w:rsidP="003B05D3">
      <w:pPr>
        <w:rPr>
          <w:rFonts w:asciiTheme="majorHAnsi" w:hAnsiTheme="majorHAnsi" w:cstheme="majorHAnsi"/>
          <w:lang w:val="es-CL"/>
        </w:rPr>
      </w:pPr>
      <w:r>
        <w:rPr>
          <w:rFonts w:asciiTheme="majorHAnsi" w:hAnsiTheme="majorHAnsi" w:cstheme="majorHAnsi"/>
          <w:lang w:val="es-CL"/>
        </w:rPr>
        <w:t>En función de esta clasificación, GST definirá las acciones de gestión correspondientes, las cuales podrán incluir la elaboración de un plan de mejora detallado, el escalamiento a instancias de decisión, el desarrollo de proyectos de optimización de proceso o la incorporación del diagnóstico en la evaluación de desempeño del contrato.</w:t>
      </w:r>
    </w:p>
    <w:p w14:paraId="653E68AB" w14:textId="77777777" w:rsidR="00D5319C" w:rsidRPr="003B05D3" w:rsidRDefault="00D5319C" w:rsidP="003B05D3">
      <w:pPr>
        <w:pStyle w:val="Ttulo2"/>
        <w:jc w:val="both"/>
        <w:rPr>
          <w:rFonts w:asciiTheme="majorHAnsi" w:hAnsiTheme="majorHAnsi"/>
          <w:color w:val="31849B" w:themeColor="accent5" w:themeShade="BF"/>
          <w:sz w:val="22"/>
        </w:rPr>
      </w:pPr>
      <w:bookmarkStart w:id="22" w:name="_Toc224725697"/>
      <w:r>
        <w:rPr>
          <w:rFonts w:asciiTheme="majorHAnsi" w:hAnsiTheme="majorHAnsi"/>
          <w:color w:val="31849B" w:themeColor="accent5" w:themeShade="BF"/>
          <w:sz w:val="22"/>
        </w:rPr>
        <w:t>5.11 Formalización del diagnóstico oficial</w:t>
      </w:r>
      <w:bookmarkEnd w:id="22"/>
    </w:p>
    <w:p w14:paraId="28645433" w14:textId="77777777" w:rsidR="008E3BD7" w:rsidRDefault="008E3BD7" w:rsidP="003B05D3">
      <w:pPr>
        <w:rPr>
          <w:rFonts w:asciiTheme="majorHAnsi" w:hAnsiTheme="majorHAnsi" w:cstheme="majorHAnsi"/>
          <w:lang w:val="es-CL"/>
        </w:rPr>
      </w:pPr>
      <w:r>
        <w:rPr>
          <w:rFonts w:asciiTheme="majorHAnsi" w:hAnsiTheme="majorHAnsi" w:cstheme="majorHAnsi"/>
          <w:lang w:val="es-CL"/>
        </w:rPr>
        <w:t>Una vez concluidas las etapas de análisis, validación y priorización, GST procederá a consolidar y formalizar el diagnóstico de productividad del contrato. En esta instancia, los resultados quedan oficialmente validados y constituyen el diagnóstico definitivo del proceso analizado.</w:t>
      </w:r>
    </w:p>
    <w:p w14:paraId="5A5AE0C6" w14:textId="77777777" w:rsidR="00720794" w:rsidRPr="008E3BD7" w:rsidRDefault="00720794" w:rsidP="003B05D3">
      <w:pPr>
        <w:rPr>
          <w:rFonts w:asciiTheme="majorHAnsi" w:hAnsiTheme="majorHAnsi" w:cstheme="majorHAnsi"/>
          <w:lang w:val="es-CL"/>
        </w:rPr>
      </w:pPr>
    </w:p>
    <w:p w14:paraId="2BFEEEE3" w14:textId="77777777" w:rsidR="008E3BD7" w:rsidRPr="008E3BD7" w:rsidRDefault="008E3BD7" w:rsidP="003B05D3">
      <w:pPr>
        <w:rPr>
          <w:rFonts w:asciiTheme="majorHAnsi" w:hAnsiTheme="majorHAnsi" w:cstheme="majorHAnsi"/>
          <w:lang w:val="es-CL"/>
        </w:rPr>
      </w:pPr>
      <w:r>
        <w:rPr>
          <w:rFonts w:asciiTheme="majorHAnsi" w:hAnsiTheme="majorHAnsi" w:cstheme="majorHAnsi"/>
          <w:lang w:val="es-CL"/>
        </w:rPr>
        <w:t>A partir de su formalización, el diagnóstico de productividad se transforma en la referencia oficial para la gestión del contrato, sustentando la definición de planes de mejora, la fijación de nuevas líneas base y la evaluación de desempeño del servicio, prevaleciendo sobre cualquier estimación preliminar o análisis parcial.</w:t>
      </w:r>
    </w:p>
    <w:p w14:paraId="4CA6748B" w14:textId="77777777" w:rsidR="008E3BD7" w:rsidRPr="008E3BD7" w:rsidRDefault="008E3BD7" w:rsidP="003B05D3"/>
    <w:p w14:paraId="5C7B0BE4" w14:textId="77777777" w:rsidR="00D5319C" w:rsidRPr="003B05D3" w:rsidRDefault="00D5319C" w:rsidP="003B05D3">
      <w:pPr>
        <w:pStyle w:val="Ttulo2"/>
        <w:jc w:val="both"/>
        <w:rPr>
          <w:rFonts w:asciiTheme="majorHAnsi" w:hAnsiTheme="majorHAnsi"/>
          <w:color w:val="31849B" w:themeColor="accent5" w:themeShade="BF"/>
          <w:sz w:val="22"/>
        </w:rPr>
      </w:pPr>
      <w:bookmarkStart w:id="23" w:name="_Toc224725698"/>
      <w:r>
        <w:rPr>
          <w:rFonts w:asciiTheme="majorHAnsi" w:hAnsiTheme="majorHAnsi"/>
          <w:color w:val="31849B" w:themeColor="accent5" w:themeShade="BF"/>
          <w:sz w:val="22"/>
        </w:rPr>
        <w:lastRenderedPageBreak/>
        <w:t>5.12 Emisión del informe y cierre formal</w:t>
      </w:r>
      <w:bookmarkEnd w:id="23"/>
    </w:p>
    <w:p w14:paraId="4ECB0480" w14:textId="77777777" w:rsidR="008E3BD7" w:rsidRDefault="008E3BD7" w:rsidP="003B05D3">
      <w:pPr>
        <w:rPr>
          <w:rFonts w:asciiTheme="majorHAnsi" w:hAnsiTheme="majorHAnsi" w:cstheme="majorHAnsi"/>
          <w:lang w:val="es-CL"/>
        </w:rPr>
      </w:pPr>
      <w:r>
        <w:rPr>
          <w:rFonts w:asciiTheme="majorHAnsi" w:hAnsiTheme="majorHAnsi" w:cstheme="majorHAnsi"/>
          <w:lang w:val="es-CL"/>
        </w:rPr>
        <w:t>Finalmente, se elaborará el informe de diagnóstico de productividad, el cual documenta de forma estructurada los resultados del análisis: la línea base ToT establecida, las brechas cuantificadas, el análisis de flujo y desperdicios, las causas identificadas y la lista de oportunidades de mejora priorizadas.</w:t>
      </w:r>
    </w:p>
    <w:p w14:paraId="2C1ABAEF" w14:textId="77777777" w:rsidR="00720794" w:rsidRPr="008E3BD7" w:rsidRDefault="00720794" w:rsidP="003B05D3">
      <w:pPr>
        <w:rPr>
          <w:rFonts w:asciiTheme="majorHAnsi" w:hAnsiTheme="majorHAnsi" w:cstheme="majorHAnsi"/>
          <w:lang w:val="es-CL"/>
        </w:rPr>
      </w:pPr>
    </w:p>
    <w:p w14:paraId="031CB1ED" w14:textId="51D1C08E" w:rsidR="008E3BD7" w:rsidRDefault="008E3BD7" w:rsidP="003B05D3">
      <w:pPr>
        <w:rPr>
          <w:rFonts w:asciiTheme="majorHAnsi" w:hAnsiTheme="majorHAnsi" w:cstheme="majorHAnsi"/>
          <w:lang w:val="es-CL"/>
        </w:rPr>
      </w:pPr>
      <w:r>
        <w:rPr>
          <w:rFonts w:asciiTheme="majorHAnsi" w:hAnsiTheme="majorHAnsi" w:cstheme="majorHAnsi"/>
          <w:lang w:val="es-CL"/>
        </w:rPr>
        <w:t>Con la emisión de este informe se declara formalmente cerrado el diagnóstico, estableciendo el punto a partir del cual los resultados son oficiales y no se admitirán modificaciones a la línea base ni a las brechas registradas sin un nuevo proceso de medición.</w:t>
      </w:r>
    </w:p>
    <w:p w14:paraId="1D88CADB" w14:textId="77777777" w:rsidR="00DF694C" w:rsidRPr="008E3BD7" w:rsidRDefault="00DF694C" w:rsidP="008E3BD7">
      <w:pPr>
        <w:ind w:left="720"/>
        <w:rPr>
          <w:rFonts w:asciiTheme="majorHAnsi" w:hAnsiTheme="majorHAnsi" w:cstheme="majorHAnsi"/>
          <w:lang w:val="es-CL"/>
        </w:rPr>
      </w:pPr>
    </w:p>
    <w:p w14:paraId="28AC0E8F" w14:textId="77777777" w:rsidR="000A6052" w:rsidRPr="00DF694C" w:rsidRDefault="00E6057B" w:rsidP="00D95800">
      <w:pPr>
        <w:pStyle w:val="Ttulo1"/>
        <w:spacing w:line="240" w:lineRule="auto"/>
        <w:jc w:val="both"/>
        <w:rPr>
          <w:rFonts w:asciiTheme="majorHAnsi" w:hAnsiTheme="majorHAnsi"/>
          <w:color w:val="31849B" w:themeColor="accent5" w:themeShade="BF"/>
          <w:sz w:val="22"/>
          <w:szCs w:val="32"/>
        </w:rPr>
      </w:pPr>
      <w:bookmarkStart w:id="24" w:name="_Toc224725699"/>
      <w:r>
        <w:rPr>
          <w:rFonts w:asciiTheme="majorHAnsi" w:hAnsiTheme="majorHAnsi"/>
          <w:color w:val="31849B" w:themeColor="accent5" w:themeShade="BF"/>
          <w:sz w:val="22"/>
          <w:szCs w:val="32"/>
        </w:rPr>
        <w:t>6. Validación y formalización del análisis</w:t>
      </w:r>
      <w:bookmarkEnd w:id="24"/>
    </w:p>
    <w:p w14:paraId="6BB74835" w14:textId="74AE3F90" w:rsidR="000A6052" w:rsidRPr="00591E00" w:rsidRDefault="00E6057B" w:rsidP="00591E00">
      <w:pPr>
        <w:rPr>
          <w:rFonts w:asciiTheme="majorHAnsi" w:hAnsiTheme="majorHAnsi" w:cstheme="majorHAnsi"/>
        </w:rPr>
      </w:pPr>
      <w:r>
        <w:rPr>
          <w:rFonts w:asciiTheme="majorHAnsi" w:hAnsiTheme="majorHAnsi" w:cstheme="majorHAnsi"/>
        </w:rPr>
        <w:t>Una vez ejecutadas todas las etapas del análisis y definidas las iniciativas de mejora, GST procederá a la validación y formalización del diagnóstico de productividad, dejando registro explícito de los resultados, las decisiones adoptadas y las acciones comprometidas durante el proceso.</w:t>
      </w:r>
    </w:p>
    <w:p w14:paraId="2D3FA3D6" w14:textId="77777777" w:rsidR="00F91CEC" w:rsidRPr="00591E00" w:rsidRDefault="00F91CEC" w:rsidP="0EEC0A37">
      <w:pPr>
        <w:rPr>
          <w:rFonts w:asciiTheme="majorHAnsi" w:hAnsiTheme="majorHAnsi" w:cstheme="majorBidi"/>
          <w:lang w:val="es-ES"/>
        </w:rPr>
      </w:pPr>
      <w:r>
        <w:rPr>
          <w:rFonts w:asciiTheme="majorHAnsi" w:hAnsiTheme="majorHAnsi" w:cstheme="majorBidi"/>
          <w:lang w:val="es-ES"/>
        </w:rPr>
        <w:t>La formalización del diagnóstico constituye la instancia final del proceso de análisis de productividad y establece el punto de corte a partir del cual no se admiten modificaciones a los resultados del período observado. Desde este momento, el diagnóstico validado se transforma en la referencia oficial para efectos de reportabilidad, elaboración de planes de mejora, evaluación de desempeño y fijación de nuevas líneas base de productividad.</w:t>
      </w:r>
    </w:p>
    <w:p w14:paraId="41B165F7" w14:textId="7C2EDF76" w:rsidR="000A6052" w:rsidRPr="00DF694C" w:rsidRDefault="00E6057B" w:rsidP="00F61CF6">
      <w:pPr>
        <w:pStyle w:val="Ttulo1"/>
        <w:jc w:val="both"/>
        <w:rPr>
          <w:rFonts w:asciiTheme="majorHAnsi" w:hAnsiTheme="majorHAnsi"/>
          <w:color w:val="31849B" w:themeColor="accent5" w:themeShade="BF"/>
          <w:sz w:val="22"/>
          <w:szCs w:val="32"/>
        </w:rPr>
      </w:pPr>
      <w:bookmarkStart w:id="25" w:name="_Toc224725700"/>
      <w:r>
        <w:rPr>
          <w:rFonts w:asciiTheme="majorHAnsi" w:hAnsiTheme="majorHAnsi"/>
          <w:color w:val="31849B" w:themeColor="accent5" w:themeShade="BF"/>
          <w:sz w:val="22"/>
          <w:szCs w:val="32"/>
        </w:rPr>
        <w:t>7. Registro y trazabilidad</w:t>
      </w:r>
      <w:bookmarkEnd w:id="25"/>
    </w:p>
    <w:p w14:paraId="21865188" w14:textId="77777777" w:rsidR="00F61CF6" w:rsidRPr="00F61CF6" w:rsidRDefault="00F61CF6" w:rsidP="00F61CF6">
      <w:pPr>
        <w:jc w:val="both"/>
        <w:rPr>
          <w:rFonts w:asciiTheme="majorHAnsi" w:eastAsia="Calibri" w:hAnsiTheme="majorHAnsi" w:cstheme="majorHAnsi"/>
          <w:lang w:val="es-CL"/>
        </w:rPr>
      </w:pPr>
      <w:r>
        <w:rPr>
          <w:rFonts w:asciiTheme="majorHAnsi" w:eastAsia="Calibri" w:hAnsiTheme="majorHAnsi" w:cstheme="majorHAnsi"/>
          <w:lang w:val="es-CL"/>
        </w:rPr>
        <w:t>El análisis de productividad deberá quedar respaldado mediante un registro documentado que permita reconstruir de forma trazable la metodología aplicada, los datos levantados en terreno, los resultados del análisis, las causas identificadas y las decisiones de gestión adoptadas.</w:t>
      </w:r>
    </w:p>
    <w:p w14:paraId="21982577" w14:textId="77777777" w:rsidR="00F61CF6" w:rsidRPr="00F61CF6" w:rsidRDefault="00F61CF6" w:rsidP="00F61CF6">
      <w:pPr>
        <w:spacing w:line="240" w:lineRule="auto"/>
        <w:jc w:val="both"/>
        <w:rPr>
          <w:rFonts w:asciiTheme="majorHAnsi" w:eastAsia="Calibri" w:hAnsiTheme="majorHAnsi" w:cstheme="majorHAnsi"/>
          <w:lang w:val="es-CL"/>
        </w:rPr>
      </w:pPr>
    </w:p>
    <w:p w14:paraId="38F29D9B" w14:textId="1DD73B41" w:rsidR="00F61CF6" w:rsidRPr="00F61CF6" w:rsidRDefault="00F61CF6" w:rsidP="00F61CF6">
      <w:pPr>
        <w:spacing w:line="240" w:lineRule="auto"/>
        <w:jc w:val="both"/>
        <w:rPr>
          <w:rFonts w:asciiTheme="majorHAnsi" w:eastAsia="Calibri" w:hAnsiTheme="majorHAnsi" w:cstheme="majorHAnsi"/>
          <w:lang w:val="es-CL"/>
        </w:rPr>
      </w:pPr>
      <w:r>
        <w:rPr>
          <w:rFonts w:asciiTheme="majorHAnsi" w:eastAsia="Calibri" w:hAnsiTheme="majorHAnsi" w:cstheme="majorHAnsi"/>
          <w:lang w:val="es-CL"/>
        </w:rPr>
        <w:t>Este registro deberá contener, al menos, la base de medición ToT consolidada, el análisis de flujo de proceso documentado, las brechas cuantificadas, el árbol causal construido, las oportunidades de mejora priorizadas y las acciones de gestión definidas. Asimismo, deberá permitir la trazabilidad entre la evidencia levantada en terreno y las conclusiones del diagnóstico.</w:t>
      </w:r>
    </w:p>
    <w:p w14:paraId="4D7D17AF" w14:textId="77777777" w:rsidR="00F61CF6" w:rsidRPr="00F61CF6" w:rsidRDefault="00F61CF6" w:rsidP="00F61CF6">
      <w:pPr>
        <w:spacing w:line="240" w:lineRule="auto"/>
        <w:jc w:val="both"/>
        <w:rPr>
          <w:rFonts w:asciiTheme="majorHAnsi" w:eastAsia="Calibri" w:hAnsiTheme="majorHAnsi" w:cstheme="majorHAnsi"/>
          <w:lang w:val="es-CL"/>
        </w:rPr>
      </w:pPr>
    </w:p>
    <w:p w14:paraId="7817236D" w14:textId="670E0C87" w:rsidR="000A6052" w:rsidRDefault="00F61CF6">
      <w:pPr>
        <w:spacing w:line="240" w:lineRule="auto"/>
        <w:jc w:val="both"/>
        <w:rPr>
          <w:rFonts w:asciiTheme="majorHAnsi" w:eastAsia="Calibri" w:hAnsiTheme="majorHAnsi" w:cstheme="majorHAnsi"/>
          <w:lang w:val="es-CL"/>
        </w:rPr>
      </w:pPr>
      <w:r>
        <w:rPr>
          <w:rFonts w:asciiTheme="majorHAnsi" w:eastAsia="Calibri" w:hAnsiTheme="majorHAnsi" w:cstheme="majorHAnsi"/>
          <w:lang w:val="es-CL"/>
        </w:rPr>
        <w:t>Este registro asegura la consistencia entre la evidencia observada, el diagnóstico formalizado y las iniciativas propuestas, y constituye un respaldo fundamental para efectos de auditoría, seguimiento de planes de mejora y análisis comparativos de evolución de productividad entre períodos.</w:t>
      </w:r>
    </w:p>
    <w:p w14:paraId="51A9A134" w14:textId="77777777" w:rsidR="002B54FF" w:rsidRDefault="002B54FF">
      <w:pPr>
        <w:spacing w:line="240" w:lineRule="auto"/>
        <w:jc w:val="both"/>
        <w:rPr>
          <w:rFonts w:asciiTheme="majorHAnsi" w:eastAsia="Calibri" w:hAnsiTheme="majorHAnsi" w:cstheme="majorHAnsi"/>
          <w:lang w:val="es-CL"/>
        </w:rPr>
      </w:pPr>
    </w:p>
    <w:p w14:paraId="0CF5B1C1" w14:textId="77777777" w:rsidR="00F61CF6" w:rsidRPr="00F91CEC" w:rsidRDefault="00F61CF6">
      <w:pPr>
        <w:spacing w:line="240" w:lineRule="auto"/>
        <w:jc w:val="both"/>
        <w:rPr>
          <w:rFonts w:asciiTheme="majorHAnsi" w:eastAsia="Calibri" w:hAnsiTheme="majorHAnsi" w:cstheme="majorHAnsi"/>
          <w:lang w:val="es-CL"/>
        </w:rPr>
      </w:pPr>
    </w:p>
    <w:p w14:paraId="46DE699D" w14:textId="2A362F00" w:rsidR="00F61CF6" w:rsidRPr="00F61CF6" w:rsidRDefault="00E6057B" w:rsidP="00F61CF6">
      <w:pPr>
        <w:pStyle w:val="Ttulo1"/>
        <w:spacing w:before="0"/>
        <w:jc w:val="both"/>
        <w:rPr>
          <w:rFonts w:asciiTheme="majorHAnsi" w:hAnsiTheme="majorHAnsi"/>
          <w:color w:val="31849B" w:themeColor="accent5" w:themeShade="BF"/>
          <w:sz w:val="22"/>
          <w:szCs w:val="32"/>
        </w:rPr>
      </w:pPr>
      <w:bookmarkStart w:id="26" w:name="_Toc224725701"/>
      <w:r>
        <w:rPr>
          <w:rFonts w:asciiTheme="majorHAnsi" w:hAnsiTheme="majorHAnsi"/>
          <w:color w:val="31849B" w:themeColor="accent5" w:themeShade="BF"/>
          <w:sz w:val="22"/>
          <w:szCs w:val="32"/>
        </w:rPr>
        <w:t>8. Relación con otros procesos</w:t>
      </w:r>
      <w:bookmarkEnd w:id="26"/>
    </w:p>
    <w:p w14:paraId="34F7C7B9" w14:textId="77777777" w:rsidR="00CA3A38" w:rsidRPr="00CA3A38" w:rsidRDefault="00CA3A38" w:rsidP="00F61CF6">
      <w:pPr>
        <w:spacing w:after="240"/>
        <w:jc w:val="both"/>
        <w:rPr>
          <w:rFonts w:asciiTheme="majorHAnsi" w:eastAsia="Calibri" w:hAnsiTheme="majorHAnsi" w:cstheme="majorHAnsi"/>
          <w:lang w:val="es-CL"/>
        </w:rPr>
      </w:pPr>
      <w:r>
        <w:rPr>
          <w:rFonts w:asciiTheme="majorHAnsi" w:eastAsia="Calibri" w:hAnsiTheme="majorHAnsi" w:cstheme="majorHAnsi"/>
          <w:lang w:val="es-CL"/>
        </w:rPr>
        <w:t>El diagnóstico de productividad constituye un insumo relevante para distintos procesos de gestión de la compañía. Entre ellos se incluyen la elaboración de planes de mejora de contratos, la evaluación de desempeño de servicios terceros, la identificación de oportunidades de optimización operativa y la eventual activación de procesos de revisión de estándares contractuales o dotacionales, conforme a la gobernanza vigente.</w:t>
      </w:r>
    </w:p>
    <w:p w14:paraId="7F1B4153" w14:textId="44B4EF56" w:rsidR="000A6052" w:rsidRPr="00432170" w:rsidRDefault="00CA3A38">
      <w:pPr>
        <w:spacing w:before="240" w:after="240" w:line="240" w:lineRule="auto"/>
        <w:jc w:val="both"/>
        <w:rPr>
          <w:rFonts w:asciiTheme="majorHAnsi" w:eastAsia="Calibri" w:hAnsiTheme="majorHAnsi" w:cstheme="majorHAnsi"/>
          <w:lang w:val="es-CL"/>
        </w:rPr>
      </w:pPr>
      <w:r>
        <w:rPr>
          <w:rFonts w:asciiTheme="majorHAnsi" w:eastAsia="Calibri" w:hAnsiTheme="majorHAnsi" w:cstheme="majorHAnsi"/>
          <w:lang w:val="es-CL"/>
        </w:rPr>
        <w:lastRenderedPageBreak/>
        <w:t>Asimismo, los resultados del diagnóstico alimentan la reportabilidad de gestión de contratos y respaldan la toma de decisiones en materia de eficiencia operacional y control de costos de servicios terceros.</w:t>
      </w:r>
    </w:p>
    <w:p w14:paraId="53A61320" w14:textId="77777777" w:rsidR="000A6052" w:rsidRPr="00DF694C" w:rsidRDefault="00E6057B">
      <w:pPr>
        <w:pStyle w:val="Ttulo1"/>
        <w:spacing w:line="240" w:lineRule="auto"/>
        <w:jc w:val="both"/>
        <w:rPr>
          <w:rFonts w:asciiTheme="majorHAnsi" w:hAnsiTheme="majorHAnsi"/>
          <w:color w:val="31849B" w:themeColor="accent5" w:themeShade="BF"/>
          <w:sz w:val="22"/>
          <w:szCs w:val="32"/>
        </w:rPr>
      </w:pPr>
      <w:bookmarkStart w:id="27" w:name="_Toc224725702"/>
      <w:r>
        <w:rPr>
          <w:rFonts w:asciiTheme="majorHAnsi" w:hAnsiTheme="majorHAnsi"/>
          <w:color w:val="31849B" w:themeColor="accent5" w:themeShade="BF"/>
          <w:sz w:val="22"/>
          <w:szCs w:val="32"/>
        </w:rPr>
        <w:t>9. Regla de no retroactividad</w:t>
      </w:r>
      <w:bookmarkEnd w:id="27"/>
    </w:p>
    <w:p w14:paraId="696D16EA" w14:textId="77777777" w:rsidR="00432170" w:rsidRPr="00432170" w:rsidRDefault="00432170" w:rsidP="00432170">
      <w:pPr>
        <w:spacing w:line="240" w:lineRule="auto"/>
        <w:jc w:val="both"/>
        <w:rPr>
          <w:rFonts w:asciiTheme="majorHAnsi" w:eastAsia="Calibri" w:hAnsiTheme="majorHAnsi" w:cstheme="majorHAnsi"/>
        </w:rPr>
      </w:pPr>
      <w:r>
        <w:rPr>
          <w:rFonts w:asciiTheme="majorHAnsi" w:eastAsia="Calibri" w:hAnsiTheme="majorHAnsi" w:cstheme="majorHAnsi"/>
        </w:rPr>
        <w:t>Los resultados del diagnóstico de productividad no habilitan ajustes retroactivos a los registros de dotación FTE ni a los datos históricos de ejecución del contrato.</w:t>
      </w:r>
    </w:p>
    <w:p w14:paraId="1914FC68" w14:textId="77777777" w:rsidR="00432170" w:rsidRPr="00432170" w:rsidRDefault="00432170" w:rsidP="00432170">
      <w:pPr>
        <w:spacing w:line="240" w:lineRule="auto"/>
        <w:jc w:val="both"/>
        <w:rPr>
          <w:rFonts w:asciiTheme="majorHAnsi" w:eastAsia="Calibri" w:hAnsiTheme="majorHAnsi" w:cstheme="majorHAnsi"/>
        </w:rPr>
      </w:pPr>
    </w:p>
    <w:p w14:paraId="5523DCC0" w14:textId="77777777" w:rsidR="00432170" w:rsidRPr="00432170" w:rsidRDefault="00432170" w:rsidP="0EEC0A37">
      <w:pPr>
        <w:spacing w:line="240" w:lineRule="auto"/>
        <w:jc w:val="both"/>
        <w:rPr>
          <w:rFonts w:asciiTheme="majorHAnsi" w:eastAsia="Calibri" w:hAnsiTheme="majorHAnsi" w:cstheme="majorBidi"/>
          <w:lang w:val="es-ES"/>
        </w:rPr>
      </w:pPr>
      <w:r>
        <w:rPr>
          <w:rFonts w:asciiTheme="majorHAnsi" w:eastAsia="Calibri" w:hAnsiTheme="majorHAnsi" w:cstheme="majorBidi"/>
          <w:lang w:val="es-ES"/>
        </w:rPr>
        <w:t>Una vez formalizado el diagnóstico, la línea base de productividad establecida y las brechas registradas no podrán ser modificadas, ajustadas ni reinterpretadas bajo ninguna circunstancia.</w:t>
      </w:r>
    </w:p>
    <w:p w14:paraId="5BD889B7" w14:textId="77777777" w:rsidR="00432170" w:rsidRPr="00432170" w:rsidRDefault="00432170" w:rsidP="00432170">
      <w:pPr>
        <w:spacing w:line="240" w:lineRule="auto"/>
        <w:jc w:val="both"/>
        <w:rPr>
          <w:rFonts w:asciiTheme="majorHAnsi" w:eastAsia="Calibri" w:hAnsiTheme="majorHAnsi" w:cstheme="majorHAnsi"/>
        </w:rPr>
      </w:pPr>
    </w:p>
    <w:p w14:paraId="042411E8" w14:textId="1D2814C3" w:rsidR="000A6052" w:rsidRPr="0088586B" w:rsidRDefault="00432170" w:rsidP="00432170">
      <w:pPr>
        <w:spacing w:line="240" w:lineRule="auto"/>
        <w:jc w:val="both"/>
        <w:rPr>
          <w:rFonts w:asciiTheme="majorHAnsi" w:eastAsia="Calibri" w:hAnsiTheme="majorHAnsi" w:cstheme="majorHAnsi"/>
        </w:rPr>
      </w:pPr>
      <w:r>
        <w:rPr>
          <w:rFonts w:asciiTheme="majorHAnsi" w:eastAsia="Calibri" w:hAnsiTheme="majorHAnsi" w:cstheme="majorHAnsi"/>
        </w:rPr>
        <w:t>Cualquier actualización del diagnóstico deberá sustentarse en una nueva medición formal y ejecutarse hacia adelante, sin afectar la integridad de la línea base establecida ni los resultados ya formalizados.</w:t>
      </w:r>
    </w:p>
    <w:p w14:paraId="76CFB5FD" w14:textId="77777777" w:rsidR="000A6052" w:rsidRPr="00DF694C" w:rsidRDefault="00E6057B">
      <w:pPr>
        <w:pStyle w:val="Ttulo1"/>
        <w:spacing w:line="240" w:lineRule="auto"/>
        <w:jc w:val="both"/>
        <w:rPr>
          <w:rFonts w:asciiTheme="majorHAnsi" w:hAnsiTheme="majorHAnsi"/>
          <w:color w:val="31849B" w:themeColor="accent5" w:themeShade="BF"/>
          <w:sz w:val="22"/>
          <w:szCs w:val="32"/>
        </w:rPr>
      </w:pPr>
      <w:bookmarkStart w:id="28" w:name="_Toc224725703"/>
      <w:r>
        <w:rPr>
          <w:rFonts w:asciiTheme="majorHAnsi" w:hAnsiTheme="majorHAnsi"/>
          <w:color w:val="31849B" w:themeColor="accent5" w:themeShade="BF"/>
          <w:sz w:val="22"/>
          <w:szCs w:val="32"/>
        </w:rPr>
        <w:t>10. Regla clave</w:t>
      </w:r>
      <w:bookmarkEnd w:id="28"/>
    </w:p>
    <w:p w14:paraId="19859A68" w14:textId="77777777" w:rsidR="000A6052" w:rsidRPr="0088586B" w:rsidRDefault="00E6057B" w:rsidP="51AA01F1">
      <w:pPr>
        <w:spacing w:before="240" w:after="240" w:line="240" w:lineRule="auto"/>
        <w:jc w:val="both"/>
        <w:rPr>
          <w:rFonts w:asciiTheme="majorHAnsi" w:eastAsia="Calibri" w:hAnsiTheme="majorHAnsi" w:cstheme="majorHAnsi"/>
          <w:lang w:val="es-ES"/>
        </w:rPr>
      </w:pPr>
      <w:r>
        <w:rPr>
          <w:rFonts w:asciiTheme="majorHAnsi" w:eastAsia="Calibri" w:hAnsiTheme="majorHAnsi" w:cstheme="majorHAnsi"/>
          <w:lang w:val="es-ES"/>
        </w:rPr>
        <w:t>El diagnóstico de productividad formalizado constituye el referente oficial, único y válido del proceso analizado para todos los efectos de gestión de contratos, elaboración de planes de mejora, reportabilidad corporativa y evaluación de desempeño operacional.</w:t>
      </w:r>
    </w:p>
    <w:p w14:paraId="3581460C" w14:textId="77777777" w:rsidR="000A6052" w:rsidRPr="0088586B" w:rsidRDefault="00E6057B">
      <w:pPr>
        <w:spacing w:before="240" w:after="240" w:line="240" w:lineRule="auto"/>
        <w:jc w:val="both"/>
        <w:rPr>
          <w:rFonts w:asciiTheme="majorHAnsi" w:eastAsia="Calibri" w:hAnsiTheme="majorHAnsi" w:cstheme="majorHAnsi"/>
        </w:rPr>
      </w:pPr>
      <w:r>
        <w:rPr>
          <w:rFonts w:asciiTheme="majorHAnsi" w:eastAsia="Calibri" w:hAnsiTheme="majorHAnsi" w:cstheme="majorHAnsi"/>
        </w:rPr>
        <w:t>Fuera de la instancia formal del análisis de productividad no existe diagnóstico válido. Ninguna estimación preliminar, análisis parcial o medición informal podrá modificar, reinterpretar o sustituir los resultados formalizados, los cuales prevalecen como referencia única para la gestión del contrato.</w:t>
      </w:r>
    </w:p>
    <w:p w14:paraId="3B691207" w14:textId="77777777" w:rsidR="000A6052" w:rsidRPr="0088586B" w:rsidRDefault="00E6057B">
      <w:pPr>
        <w:spacing w:before="240" w:after="240" w:line="240" w:lineRule="auto"/>
        <w:jc w:val="both"/>
        <w:rPr>
          <w:rFonts w:asciiTheme="majorHAnsi" w:eastAsia="Calibri" w:hAnsiTheme="majorHAnsi" w:cstheme="majorHAnsi"/>
        </w:rPr>
      </w:pPr>
      <w:r>
        <w:rPr>
          <w:rFonts w:asciiTheme="majorHAnsi" w:eastAsia="Calibri" w:hAnsiTheme="majorHAnsi" w:cstheme="majorHAnsi"/>
        </w:rPr>
        <w:t>Cualquier nueva información sobre la productividad del proceso diagnosticado que surja con posterioridad al cierre del análisis deberá ser gestionada mediante un nuevo proceso formal de diagnóstico, sin afectar la integridad del diagnóstico histórico ni la disciplina metodológica establecida.</w:t>
      </w:r>
    </w:p>
    <w:p w14:paraId="48E55DF3" w14:textId="77777777" w:rsidR="000A6052" w:rsidRPr="0088586B" w:rsidRDefault="000A6052">
      <w:pPr>
        <w:spacing w:line="240" w:lineRule="auto"/>
        <w:jc w:val="both"/>
        <w:rPr>
          <w:rFonts w:asciiTheme="majorHAnsi" w:eastAsia="Calibri" w:hAnsiTheme="majorHAnsi" w:cstheme="majorHAnsi"/>
          <w:sz w:val="24"/>
          <w:szCs w:val="24"/>
        </w:rPr>
      </w:pPr>
    </w:p>
    <w:p w14:paraId="22521117" w14:textId="77777777" w:rsidR="000A6052" w:rsidRPr="0088586B" w:rsidRDefault="000A6052">
      <w:pPr>
        <w:spacing w:line="240" w:lineRule="auto"/>
        <w:jc w:val="both"/>
        <w:rPr>
          <w:rFonts w:asciiTheme="majorHAnsi" w:hAnsiTheme="majorHAnsi" w:cstheme="majorHAnsi"/>
        </w:rPr>
      </w:pPr>
    </w:p>
    <w:p w14:paraId="416662B7" w14:textId="77777777" w:rsidR="000A6052" w:rsidRPr="0088586B" w:rsidRDefault="000A6052">
      <w:pPr>
        <w:spacing w:line="240" w:lineRule="auto"/>
        <w:jc w:val="both"/>
        <w:rPr>
          <w:rFonts w:asciiTheme="majorHAnsi" w:hAnsiTheme="majorHAnsi" w:cstheme="majorHAnsi"/>
        </w:rPr>
      </w:pPr>
    </w:p>
    <w:p w14:paraId="0FE5EBA3" w14:textId="77777777" w:rsidR="000A6052" w:rsidRPr="0088586B" w:rsidRDefault="000A6052">
      <w:pPr>
        <w:spacing w:line="240" w:lineRule="auto"/>
        <w:rPr>
          <w:rFonts w:asciiTheme="majorHAnsi" w:eastAsia="Calibri" w:hAnsiTheme="majorHAnsi" w:cstheme="majorHAnsi"/>
          <w:sz w:val="24"/>
          <w:szCs w:val="24"/>
        </w:rPr>
      </w:pPr>
    </w:p>
    <w:p w14:paraId="028D87F0" w14:textId="77777777" w:rsidR="000A6052" w:rsidRPr="0088586B" w:rsidRDefault="000A6052">
      <w:pPr>
        <w:spacing w:line="240" w:lineRule="auto"/>
        <w:rPr>
          <w:rFonts w:asciiTheme="majorHAnsi" w:eastAsia="Calibri" w:hAnsiTheme="majorHAnsi" w:cstheme="majorHAnsi"/>
          <w:sz w:val="24"/>
          <w:szCs w:val="24"/>
        </w:rPr>
      </w:pPr>
    </w:p>
    <w:p w14:paraId="7DB8D821" w14:textId="77777777" w:rsidR="00DE0E3E" w:rsidRDefault="00DE0E3E">
      <w:pPr>
        <w:spacing w:before="240" w:after="240" w:line="240" w:lineRule="auto"/>
        <w:jc w:val="both"/>
        <w:rPr>
          <w:rFonts w:ascii="Calibri" w:eastAsia="Calibri" w:hAnsi="Calibri" w:cs="Calibri"/>
        </w:rPr>
      </w:pPr>
    </w:p>
    <w:p w14:paraId="71AE39A5" w14:textId="4EA3C96F" w:rsidR="00DE0E3E" w:rsidRDefault="00DE0E3E">
      <w:pPr>
        <w:spacing w:before="240" w:after="240" w:line="240" w:lineRule="auto"/>
        <w:jc w:val="both"/>
        <w:rPr>
          <w:rFonts w:ascii="Calibri" w:eastAsia="Calibri" w:hAnsi="Calibri" w:cs="Calibri"/>
          <w:sz w:val="24"/>
          <w:szCs w:val="24"/>
        </w:rPr>
      </w:pPr>
      <w:r>
        <w:rPr>
          <w:rFonts w:ascii="Calibri" w:eastAsia="Calibri" w:hAnsi="Calibri" w:cs="Calibri"/>
          <w:noProof/>
          <w:sz w:val="24"/>
          <w:szCs w:val="24"/>
        </w:rPr>
        <w:drawing>
          <wp:inline distT="0" distB="0" distL="0" distR="0" wp14:anchorId="7C739517" wp14:editId="1860FFC5">
            <wp:extent cx="1930499" cy="2540131"/>
            <wp:effectExtent l="0" t="0" r="0" b="0"/>
            <wp:docPr id="30607319" name="Imagen 1" descr="Tabl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7319" name="Imagen 1" descr="Tabla  El contenido generado por IA puede ser incorrecto."/>
                    <pic:cNvPicPr/>
                  </pic:nvPicPr>
                  <pic:blipFill>
                    <a:blip r:embed="rId16"/>
                    <a:stretch>
                      <a:fillRect/>
                    </a:stretch>
                  </pic:blipFill>
                  <pic:spPr>
                    <a:xfrm>
                      <a:off x="0" y="0"/>
                      <a:ext cx="1930499" cy="2540131"/>
                    </a:xfrm>
                    <a:prstGeom prst="rect">
                      <a:avLst/>
                    </a:prstGeom>
                  </pic:spPr>
                </pic:pic>
              </a:graphicData>
            </a:graphic>
          </wp:inline>
        </w:drawing>
      </w:r>
    </w:p>
    <w:sectPr w:rsidR="00DE0E3E">
      <w:headerReference w:type="default" r:id="rId17"/>
      <w:pgSz w:w="11909" w:h="16834"/>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Isidora Escobar Garrido" w:date="2026-03-05T15:28:00Z" w:initials="">
    <w:p w14:paraId="3E67E2FE" w14:textId="77777777" w:rsidR="000A6052" w:rsidRDefault="006126C2">
      <w:pPr>
        <w:widowControl w:val="0"/>
        <w:pBdr>
          <w:top w:val="nil"/>
          <w:left w:val="nil"/>
          <w:bottom w:val="nil"/>
          <w:right w:val="nil"/>
          <w:between w:val="nil"/>
        </w:pBdr>
        <w:spacing w:line="240" w:lineRule="auto"/>
        <w:rPr>
          <w:color w:val="000000"/>
        </w:rPr>
      </w:pPr>
      <w:r>
        <w:annotationRef/>
      </w:r>
      <w:r w:rsidR="00E6057B">
        <w:rPr>
          <w:color w:val="000000"/>
        </w:rPr>
        <w:t>1:47:07</w:t>
      </w:r>
    </w:p>
    <w:p w14:paraId="327BF221" w14:textId="77777777" w:rsidR="000A6052" w:rsidRDefault="00E6057B">
      <w:pPr>
        <w:widowControl w:val="0"/>
        <w:pBdr>
          <w:top w:val="nil"/>
          <w:left w:val="nil"/>
          <w:bottom w:val="nil"/>
          <w:right w:val="nil"/>
          <w:between w:val="nil"/>
        </w:pBdr>
        <w:spacing w:line="240" w:lineRule="auto"/>
        <w:rPr>
          <w:color w:val="000000"/>
        </w:rPr>
      </w:pPr>
      <w:r>
        <w:rPr>
          <w:color w:val="000000"/>
        </w:rPr>
        <w:t>https://teams.microsoft.com/l/meetingrecap?driveId=b%21G7a0rYpgFEq52wBuFLEphCBTp1Vy9eBEsgAy5mBsYxPousWZIkTBS6whM2XXYENt&amp;driveItemId=01ZAWKLOQL5CHTYYUURFBLEWTGZKCECT5P&amp;sitePath=https%3A%2F%2Faminerals-my.sharepoint.com%2F%3Av%3A%2Fg%2Fpersonal%2Fiescobar_eeccmlp_cl%2FIQAL6I88YpSJQrJaZsqEQU-vAQ3mM1gi1RZo77ELmREeiEU&amp;fileUrl=https%3A%2F%2Faminerals-my.sharepoint.com%2Fpersonal%2Fiescobar_eeccmlp_cl%2FDocuments%2FGrabaciones%2FRevisi%C3%B3n+instructivos-20260216_153252-Grabaci%C3%B3n+de+la+reuni%C3%B3n.mp4%3Fweb%3D1&amp;iCalUid=040000008200E00074C5B7101A82E0080000000088BCEE13349FDC010000000000000000100000007B9E49ACC2D6F048B48E32DD8FF80BAF&amp;threadId=19%3Ameeting_MDc2OWIxYjMtODZiMi00NDM0LTkwYWYtMjg4NDVjYjMwODdh%40thread.v2&amp;organizerId=71b43869-7193-4f52-a4ee-93b6b055632f&amp;tenantId=d96f3d5a-3042-402a-994b-05725b2e1427&amp;callId=c9d7acac-194f-468a-be0c-a5205533b403&amp;threadType=Meeting&amp;meetingType=Scheduled&amp;subType=RecapSharingLink_RecapCore</w:t>
      </w:r>
    </w:p>
  </w:comment>
  <w:comment w:id="7" w:author="Millaray Cortés Pizarro" w:date="2026-02-16T20:23:00Z" w:initials="">
    <w:p w14:paraId="5804BD3E" w14:textId="77777777" w:rsidR="000A6052" w:rsidRDefault="006126C2">
      <w:pPr>
        <w:widowControl w:val="0"/>
        <w:pBdr>
          <w:top w:val="nil"/>
          <w:left w:val="nil"/>
          <w:bottom w:val="nil"/>
          <w:right w:val="nil"/>
          <w:between w:val="nil"/>
        </w:pBdr>
        <w:spacing w:line="240" w:lineRule="auto"/>
        <w:rPr>
          <w:color w:val="000000"/>
        </w:rPr>
      </w:pPr>
      <w:r>
        <w:rPr>
          <w:rStyle w:val="Refdecomentario"/>
        </w:rPr>
        <w:annotationRef/>
      </w:r>
      <w:r w:rsidR="00E6057B">
        <w:rPr>
          <w:color w:val="000000"/>
        </w:rPr>
        <w:t>Info de relaciones laborales: Se está diciendo que las dotaciones son permanentes y temporales de CAPEX Y OPEX. Del ejercicio semanal se tiene el opex y el capex. De los otros y teletrabajo no se obtiene del siga, sino que del INFORME DE FUERZA LABORAL que lo emite relaciones laborales</w:t>
      </w:r>
    </w:p>
  </w:comment>
  <w:comment w:id="6" w:author="Millaray Cortés Pizarro" w:date="2026-02-16T20:24:00Z" w:initials="">
    <w:p w14:paraId="48DCEAE2" w14:textId="77777777" w:rsidR="000A6052" w:rsidRDefault="006126C2">
      <w:pPr>
        <w:widowControl w:val="0"/>
        <w:pBdr>
          <w:top w:val="nil"/>
          <w:left w:val="nil"/>
          <w:bottom w:val="nil"/>
          <w:right w:val="nil"/>
          <w:between w:val="nil"/>
        </w:pBdr>
        <w:spacing w:line="240" w:lineRule="auto"/>
        <w:rPr>
          <w:color w:val="000000"/>
        </w:rPr>
      </w:pPr>
      <w:r>
        <w:rPr>
          <w:rStyle w:val="Refdecomentario"/>
        </w:rPr>
        <w:annotationRef/>
      </w:r>
      <w:r w:rsidR="00E6057B">
        <w:rPr>
          <w:color w:val="000000"/>
        </w:rPr>
        <w:t>de info de relaciones laborales -&gt; info de otros y teletrabjo</w:t>
      </w:r>
    </w:p>
  </w:comment>
  <w:comment w:id="5" w:author="Millaray Cortés Pizarro" w:date="2026-02-16T20:25:00Z" w:initials="">
    <w:p w14:paraId="5E2BC780" w14:textId="77777777" w:rsidR="000A6052" w:rsidRDefault="006126C2">
      <w:pPr>
        <w:widowControl w:val="0"/>
        <w:pBdr>
          <w:top w:val="nil"/>
          <w:left w:val="nil"/>
          <w:bottom w:val="nil"/>
          <w:right w:val="nil"/>
          <w:between w:val="nil"/>
        </w:pBdr>
        <w:spacing w:line="240" w:lineRule="auto"/>
        <w:rPr>
          <w:color w:val="000000"/>
        </w:rPr>
      </w:pPr>
      <w:r>
        <w:rPr>
          <w:rStyle w:val="Refdecomentario"/>
        </w:rPr>
        <w:annotationRef/>
      </w:r>
      <w:r w:rsidR="00E6057B">
        <w:rPr>
          <w:color w:val="000000"/>
        </w:rPr>
        <w:t>qué tan bueno respecto lo que levanta alessandro</w:t>
      </w:r>
    </w:p>
  </w:comment>
  <w:comment w:id="16" w:author="Isidora Escobar" w:date="2026-03-18T10:39:00Z" w:initials="IE">
    <w:p w14:paraId="4BF5E695" w14:textId="77777777" w:rsidR="00230A8F" w:rsidRDefault="00230A8F" w:rsidP="00230A8F">
      <w:pPr>
        <w:pStyle w:val="Textocomentario"/>
      </w:pPr>
      <w:r>
        <w:rPr>
          <w:rStyle w:val="Refdecomentario"/>
        </w:rPr>
        <w:annotationRef/>
      </w:r>
      <w:r>
        <w:rPr>
          <w:lang w:val="es-CL"/>
        </w:rPr>
        <w:t>Y e200?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7BF221" w15:done="0"/>
  <w15:commentEx w15:paraId="5804BD3E" w15:done="0"/>
  <w15:commentEx w15:paraId="48DCEAE2" w15:done="0"/>
  <w15:commentEx w15:paraId="5E2BC780" w15:done="0"/>
  <w15:commentEx w15:paraId="4BF5E6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9D56E7" w16cex:dateUtc="2026-03-18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7BF221" w16cid:durableId="1D15F7E5"/>
  <w16cid:commentId w16cid:paraId="5804BD3E" w16cid:durableId="6A6B48EA"/>
  <w16cid:commentId w16cid:paraId="48DCEAE2" w16cid:durableId="6889C542"/>
  <w16cid:commentId w16cid:paraId="5E2BC780" w16cid:durableId="27A03E45"/>
  <w16cid:commentId w16cid:paraId="4BF5E695" w16cid:durableId="329D56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0F798" w14:textId="77777777" w:rsidR="00DB315B" w:rsidRDefault="00DB315B">
      <w:pPr>
        <w:spacing w:line="240" w:lineRule="auto"/>
      </w:pPr>
      <w:r>
        <w:separator/>
      </w:r>
    </w:p>
  </w:endnote>
  <w:endnote w:type="continuationSeparator" w:id="0">
    <w:p w14:paraId="650174E6" w14:textId="77777777" w:rsidR="00DB315B" w:rsidRDefault="00DB31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D337B1-A141-41B3-BCA2-CFE122894A98}"/>
    <w:embedBold r:id="rId2" w:fontKey="{758D51C6-653E-4E07-98CB-25D3B3CF54D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53003585-E176-407B-AEEE-814F14A68F8A}"/>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6FF7C" w14:textId="77777777" w:rsidR="00DB315B" w:rsidRDefault="00DB315B">
      <w:pPr>
        <w:spacing w:line="240" w:lineRule="auto"/>
      </w:pPr>
      <w:r>
        <w:separator/>
      </w:r>
    </w:p>
  </w:footnote>
  <w:footnote w:type="continuationSeparator" w:id="0">
    <w:p w14:paraId="5DC79232" w14:textId="77777777" w:rsidR="00DB315B" w:rsidRDefault="00DB31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0852" w14:textId="77777777" w:rsidR="000A6052" w:rsidRDefault="00E6057B">
    <w:pPr>
      <w:spacing w:after="120" w:line="264" w:lineRule="auto"/>
      <w:jc w:val="both"/>
    </w:pPr>
    <w:r>
      <w:rPr>
        <w:rFonts w:ascii="Calibri" w:eastAsia="Calibri" w:hAnsi="Calibri" w:cs="Calibri"/>
        <w:noProof/>
      </w:rPr>
      <w:drawing>
        <wp:inline distT="0" distB="0" distL="0" distR="0" wp14:anchorId="3B040ACE" wp14:editId="251F6637">
          <wp:extent cx="897983" cy="302653"/>
          <wp:effectExtent l="0" t="0" r="0" b="0"/>
          <wp:docPr id="3" name="image2.png" descr="Logotip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  El contenido generado por IA puede ser incorrecto."/>
                  <pic:cNvPicPr preferRelativeResize="0"/>
                </pic:nvPicPr>
                <pic:blipFill>
                  <a:blip r:embed="rId1"/>
                  <a:srcRect/>
                  <a:stretch>
                    <a:fillRect/>
                  </a:stretch>
                </pic:blipFill>
                <pic:spPr>
                  <a:xfrm>
                    <a:off x="0" y="0"/>
                    <a:ext cx="897983" cy="30265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45A"/>
    <w:multiLevelType w:val="multilevel"/>
    <w:tmpl w:val="0C68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A08EE"/>
    <w:multiLevelType w:val="multilevel"/>
    <w:tmpl w:val="609A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2D6CBD"/>
    <w:multiLevelType w:val="multilevel"/>
    <w:tmpl w:val="DFE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065AF"/>
    <w:multiLevelType w:val="multilevel"/>
    <w:tmpl w:val="71F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15139"/>
    <w:multiLevelType w:val="multilevel"/>
    <w:tmpl w:val="5DD4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83715"/>
    <w:multiLevelType w:val="multilevel"/>
    <w:tmpl w:val="A110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0320"/>
    <w:multiLevelType w:val="multilevel"/>
    <w:tmpl w:val="3A32D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6B6259"/>
    <w:multiLevelType w:val="multilevel"/>
    <w:tmpl w:val="8060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83355"/>
    <w:multiLevelType w:val="multilevel"/>
    <w:tmpl w:val="1284B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42368C"/>
    <w:multiLevelType w:val="multilevel"/>
    <w:tmpl w:val="8D020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4C6C26"/>
    <w:multiLevelType w:val="multilevel"/>
    <w:tmpl w:val="838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12AA3"/>
    <w:multiLevelType w:val="multilevel"/>
    <w:tmpl w:val="CA3A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71B36"/>
    <w:multiLevelType w:val="multilevel"/>
    <w:tmpl w:val="5C1AC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295D95"/>
    <w:multiLevelType w:val="multilevel"/>
    <w:tmpl w:val="DE529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3B3CD1"/>
    <w:multiLevelType w:val="multilevel"/>
    <w:tmpl w:val="B560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B285E"/>
    <w:multiLevelType w:val="multilevel"/>
    <w:tmpl w:val="A5A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3710A"/>
    <w:multiLevelType w:val="multilevel"/>
    <w:tmpl w:val="9B1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95A06"/>
    <w:multiLevelType w:val="multilevel"/>
    <w:tmpl w:val="AA70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F01C3"/>
    <w:multiLevelType w:val="multilevel"/>
    <w:tmpl w:val="AEF6A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BA2F1D"/>
    <w:multiLevelType w:val="multilevel"/>
    <w:tmpl w:val="3CB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D1AD5"/>
    <w:multiLevelType w:val="multilevel"/>
    <w:tmpl w:val="14E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92A95"/>
    <w:multiLevelType w:val="multilevel"/>
    <w:tmpl w:val="BBE4A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9D07A8"/>
    <w:multiLevelType w:val="multilevel"/>
    <w:tmpl w:val="AE42B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6125151">
    <w:abstractNumId w:val="22"/>
  </w:num>
  <w:num w:numId="2" w16cid:durableId="1692683404">
    <w:abstractNumId w:val="12"/>
  </w:num>
  <w:num w:numId="3" w16cid:durableId="1501576790">
    <w:abstractNumId w:val="1"/>
  </w:num>
  <w:num w:numId="4" w16cid:durableId="550457659">
    <w:abstractNumId w:val="8"/>
  </w:num>
  <w:num w:numId="5" w16cid:durableId="2083288655">
    <w:abstractNumId w:val="13"/>
  </w:num>
  <w:num w:numId="6" w16cid:durableId="45182511">
    <w:abstractNumId w:val="21"/>
  </w:num>
  <w:num w:numId="7" w16cid:durableId="44305971">
    <w:abstractNumId w:val="18"/>
  </w:num>
  <w:num w:numId="8" w16cid:durableId="1956519677">
    <w:abstractNumId w:val="6"/>
  </w:num>
  <w:num w:numId="9" w16cid:durableId="102263097">
    <w:abstractNumId w:val="9"/>
  </w:num>
  <w:num w:numId="10" w16cid:durableId="459031707">
    <w:abstractNumId w:val="3"/>
  </w:num>
  <w:num w:numId="11" w16cid:durableId="2078242123">
    <w:abstractNumId w:val="17"/>
  </w:num>
  <w:num w:numId="12" w16cid:durableId="416875156">
    <w:abstractNumId w:val="11"/>
  </w:num>
  <w:num w:numId="13" w16cid:durableId="520631758">
    <w:abstractNumId w:val="10"/>
  </w:num>
  <w:num w:numId="14" w16cid:durableId="1181777611">
    <w:abstractNumId w:val="20"/>
  </w:num>
  <w:num w:numId="15" w16cid:durableId="1452555943">
    <w:abstractNumId w:val="2"/>
  </w:num>
  <w:num w:numId="16" w16cid:durableId="527958039">
    <w:abstractNumId w:val="7"/>
  </w:num>
  <w:num w:numId="17" w16cid:durableId="1445467875">
    <w:abstractNumId w:val="0"/>
  </w:num>
  <w:num w:numId="18" w16cid:durableId="1343975403">
    <w:abstractNumId w:val="5"/>
  </w:num>
  <w:num w:numId="19" w16cid:durableId="1064331387">
    <w:abstractNumId w:val="16"/>
  </w:num>
  <w:num w:numId="20" w16cid:durableId="2012949261">
    <w:abstractNumId w:val="19"/>
  </w:num>
  <w:num w:numId="21" w16cid:durableId="2135056110">
    <w:abstractNumId w:val="14"/>
  </w:num>
  <w:num w:numId="22" w16cid:durableId="823162920">
    <w:abstractNumId w:val="4"/>
  </w:num>
  <w:num w:numId="23" w16cid:durableId="192263671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idora Escobar">
    <w15:presenceInfo w15:providerId="AD" w15:userId="S::iescobar@eeccmlp.cl::71b43869-7193-4f52-a4ee-93b6b05563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52"/>
    <w:rsid w:val="000153EE"/>
    <w:rsid w:val="00016492"/>
    <w:rsid w:val="00024C98"/>
    <w:rsid w:val="000554E5"/>
    <w:rsid w:val="00061EC3"/>
    <w:rsid w:val="0007412B"/>
    <w:rsid w:val="000A491E"/>
    <w:rsid w:val="000A6052"/>
    <w:rsid w:val="000B3BC7"/>
    <w:rsid w:val="000E587A"/>
    <w:rsid w:val="00115E50"/>
    <w:rsid w:val="00136F82"/>
    <w:rsid w:val="00141FF2"/>
    <w:rsid w:val="0014679C"/>
    <w:rsid w:val="001513B5"/>
    <w:rsid w:val="00166E2D"/>
    <w:rsid w:val="00184F77"/>
    <w:rsid w:val="001871AC"/>
    <w:rsid w:val="001A0854"/>
    <w:rsid w:val="001C58DD"/>
    <w:rsid w:val="001E22DD"/>
    <w:rsid w:val="001F11E9"/>
    <w:rsid w:val="0020003E"/>
    <w:rsid w:val="00205BDB"/>
    <w:rsid w:val="00230A8F"/>
    <w:rsid w:val="00240315"/>
    <w:rsid w:val="0025067F"/>
    <w:rsid w:val="0025674F"/>
    <w:rsid w:val="002858DB"/>
    <w:rsid w:val="0028680E"/>
    <w:rsid w:val="00287774"/>
    <w:rsid w:val="002B3329"/>
    <w:rsid w:val="002B54FF"/>
    <w:rsid w:val="002B78EE"/>
    <w:rsid w:val="002E17E7"/>
    <w:rsid w:val="002E6815"/>
    <w:rsid w:val="00384A17"/>
    <w:rsid w:val="003A09B5"/>
    <w:rsid w:val="003A1630"/>
    <w:rsid w:val="003B05D3"/>
    <w:rsid w:val="003B27A9"/>
    <w:rsid w:val="0042511E"/>
    <w:rsid w:val="00432170"/>
    <w:rsid w:val="00433D90"/>
    <w:rsid w:val="004B294F"/>
    <w:rsid w:val="004B42BD"/>
    <w:rsid w:val="004C0217"/>
    <w:rsid w:val="004C52A1"/>
    <w:rsid w:val="004E36E9"/>
    <w:rsid w:val="004F4085"/>
    <w:rsid w:val="00532B07"/>
    <w:rsid w:val="0053366C"/>
    <w:rsid w:val="005405DA"/>
    <w:rsid w:val="00544350"/>
    <w:rsid w:val="005615D7"/>
    <w:rsid w:val="00591E00"/>
    <w:rsid w:val="005936A4"/>
    <w:rsid w:val="005C32D2"/>
    <w:rsid w:val="005C65B6"/>
    <w:rsid w:val="005D1D9D"/>
    <w:rsid w:val="005F041E"/>
    <w:rsid w:val="006126C2"/>
    <w:rsid w:val="00652A73"/>
    <w:rsid w:val="00655F02"/>
    <w:rsid w:val="006900B0"/>
    <w:rsid w:val="00692552"/>
    <w:rsid w:val="006F4BA3"/>
    <w:rsid w:val="00720794"/>
    <w:rsid w:val="0072586A"/>
    <w:rsid w:val="007709CC"/>
    <w:rsid w:val="007829DA"/>
    <w:rsid w:val="00793F3E"/>
    <w:rsid w:val="007C548E"/>
    <w:rsid w:val="007E201E"/>
    <w:rsid w:val="008375B2"/>
    <w:rsid w:val="0084299E"/>
    <w:rsid w:val="00850562"/>
    <w:rsid w:val="0085286A"/>
    <w:rsid w:val="0085798E"/>
    <w:rsid w:val="0086029A"/>
    <w:rsid w:val="008607B0"/>
    <w:rsid w:val="0086522F"/>
    <w:rsid w:val="00870736"/>
    <w:rsid w:val="00880A91"/>
    <w:rsid w:val="0088586B"/>
    <w:rsid w:val="00897392"/>
    <w:rsid w:val="008A07B3"/>
    <w:rsid w:val="008C1811"/>
    <w:rsid w:val="008E3BD7"/>
    <w:rsid w:val="0091028B"/>
    <w:rsid w:val="00914219"/>
    <w:rsid w:val="009513A9"/>
    <w:rsid w:val="0095323F"/>
    <w:rsid w:val="00972BC7"/>
    <w:rsid w:val="00990437"/>
    <w:rsid w:val="00A047E5"/>
    <w:rsid w:val="00A16D82"/>
    <w:rsid w:val="00A22AA5"/>
    <w:rsid w:val="00A2402F"/>
    <w:rsid w:val="00A33058"/>
    <w:rsid w:val="00A737A8"/>
    <w:rsid w:val="00A93F76"/>
    <w:rsid w:val="00B07D0A"/>
    <w:rsid w:val="00B17A8C"/>
    <w:rsid w:val="00B31FE2"/>
    <w:rsid w:val="00B677E5"/>
    <w:rsid w:val="00B70584"/>
    <w:rsid w:val="00B86EF6"/>
    <w:rsid w:val="00B925AE"/>
    <w:rsid w:val="00BF5BB2"/>
    <w:rsid w:val="00C32899"/>
    <w:rsid w:val="00C36FB3"/>
    <w:rsid w:val="00C51F76"/>
    <w:rsid w:val="00C620FA"/>
    <w:rsid w:val="00CA3A38"/>
    <w:rsid w:val="00CA6CDA"/>
    <w:rsid w:val="00CA78C9"/>
    <w:rsid w:val="00CE2377"/>
    <w:rsid w:val="00CF0D2A"/>
    <w:rsid w:val="00D26983"/>
    <w:rsid w:val="00D368B9"/>
    <w:rsid w:val="00D437E7"/>
    <w:rsid w:val="00D50BC0"/>
    <w:rsid w:val="00D5319C"/>
    <w:rsid w:val="00D7016D"/>
    <w:rsid w:val="00D7111E"/>
    <w:rsid w:val="00D81851"/>
    <w:rsid w:val="00D95800"/>
    <w:rsid w:val="00DB315B"/>
    <w:rsid w:val="00DD157D"/>
    <w:rsid w:val="00DE0E3E"/>
    <w:rsid w:val="00DE20BF"/>
    <w:rsid w:val="00DF694C"/>
    <w:rsid w:val="00E13781"/>
    <w:rsid w:val="00E16612"/>
    <w:rsid w:val="00E41AF7"/>
    <w:rsid w:val="00E42465"/>
    <w:rsid w:val="00E55064"/>
    <w:rsid w:val="00E550FB"/>
    <w:rsid w:val="00E6057B"/>
    <w:rsid w:val="00E6321A"/>
    <w:rsid w:val="00E7050A"/>
    <w:rsid w:val="00E707D4"/>
    <w:rsid w:val="00E86ECA"/>
    <w:rsid w:val="00EA2A5F"/>
    <w:rsid w:val="00EA5514"/>
    <w:rsid w:val="00EC5B8D"/>
    <w:rsid w:val="00EE17F7"/>
    <w:rsid w:val="00EF6248"/>
    <w:rsid w:val="00F11181"/>
    <w:rsid w:val="00F35EAC"/>
    <w:rsid w:val="00F368DB"/>
    <w:rsid w:val="00F54451"/>
    <w:rsid w:val="00F61CF6"/>
    <w:rsid w:val="00F81EE5"/>
    <w:rsid w:val="00F91CEC"/>
    <w:rsid w:val="00FC25AE"/>
    <w:rsid w:val="00FF553E"/>
    <w:rsid w:val="0EEC0A37"/>
    <w:rsid w:val="116B8647"/>
    <w:rsid w:val="2C810077"/>
    <w:rsid w:val="51AA01F1"/>
    <w:rsid w:val="56658820"/>
    <w:rsid w:val="6275B3D0"/>
    <w:rsid w:val="783A58C7"/>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E9FB5"/>
  <w15:docId w15:val="{AE5B9534-F239-4C36-9216-17779C528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F368D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368DB"/>
  </w:style>
  <w:style w:type="paragraph" w:styleId="Piedepgina">
    <w:name w:val="footer"/>
    <w:basedOn w:val="Normal"/>
    <w:link w:val="PiedepginaCar"/>
    <w:uiPriority w:val="99"/>
    <w:unhideWhenUsed/>
    <w:rsid w:val="00F368D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368DB"/>
  </w:style>
  <w:style w:type="paragraph" w:styleId="TtuloTDC">
    <w:name w:val="TOC Heading"/>
    <w:basedOn w:val="Ttulo1"/>
    <w:next w:val="Normal"/>
    <w:uiPriority w:val="39"/>
    <w:unhideWhenUsed/>
    <w:qFormat/>
    <w:rsid w:val="00D7016D"/>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D7016D"/>
    <w:pPr>
      <w:spacing w:after="100"/>
    </w:pPr>
  </w:style>
  <w:style w:type="paragraph" w:styleId="TDC2">
    <w:name w:val="toc 2"/>
    <w:basedOn w:val="Normal"/>
    <w:next w:val="Normal"/>
    <w:autoRedefine/>
    <w:uiPriority w:val="39"/>
    <w:unhideWhenUsed/>
    <w:rsid w:val="00D7016D"/>
    <w:pPr>
      <w:spacing w:after="100"/>
      <w:ind w:left="220"/>
    </w:pPr>
  </w:style>
  <w:style w:type="character" w:styleId="Hipervnculo">
    <w:name w:val="Hyperlink"/>
    <w:basedOn w:val="Fuentedeprrafopredeter"/>
    <w:uiPriority w:val="99"/>
    <w:unhideWhenUsed/>
    <w:rsid w:val="00D7016D"/>
    <w:rPr>
      <w:color w:val="0000FF" w:themeColor="hyperlink"/>
      <w:u w:val="single"/>
    </w:rPr>
  </w:style>
  <w:style w:type="paragraph" w:styleId="NormalWeb">
    <w:name w:val="Normal (Web)"/>
    <w:basedOn w:val="Normal"/>
    <w:uiPriority w:val="99"/>
    <w:semiHidden/>
    <w:unhideWhenUsed/>
    <w:rsid w:val="00B70584"/>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Fuerte">
    <w:name w:val="Strong"/>
    <w:basedOn w:val="Fuentedeprrafopredeter"/>
    <w:uiPriority w:val="22"/>
    <w:qFormat/>
    <w:rsid w:val="00B70584"/>
    <w:rPr>
      <w:b/>
      <w:bCs/>
    </w:rPr>
  </w:style>
  <w:style w:type="paragraph" w:styleId="Asuntodelcomentario">
    <w:name w:val="annotation subject"/>
    <w:basedOn w:val="Textocomentario"/>
    <w:next w:val="Textocomentario"/>
    <w:link w:val="AsuntodelcomentarioCar"/>
    <w:uiPriority w:val="99"/>
    <w:semiHidden/>
    <w:unhideWhenUsed/>
    <w:rsid w:val="00230A8F"/>
    <w:rPr>
      <w:b/>
      <w:bCs/>
    </w:rPr>
  </w:style>
  <w:style w:type="character" w:customStyle="1" w:styleId="AsuntodelcomentarioCar">
    <w:name w:val="Asunto del comentario Car"/>
    <w:basedOn w:val="TextocomentarioCar"/>
    <w:link w:val="Asuntodelcomentario"/>
    <w:uiPriority w:val="99"/>
    <w:semiHidden/>
    <w:rsid w:val="00230A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743E91485A5E45879A9B731E1658E0" ma:contentTypeVersion="3" ma:contentTypeDescription="Crear nuevo documento." ma:contentTypeScope="" ma:versionID="12b715dbede7b8453a80372b87912c2e">
  <xsd:schema xmlns:xsd="http://www.w3.org/2001/XMLSchema" xmlns:xs="http://www.w3.org/2001/XMLSchema" xmlns:p="http://schemas.microsoft.com/office/2006/metadata/properties" xmlns:ns2="407ea779-b773-4460-a625-b2007399de77" targetNamespace="http://schemas.microsoft.com/office/2006/metadata/properties" ma:root="true" ma:fieldsID="9a1435c839457a0ecc5089839f5f8934" ns2:_="">
    <xsd:import namespace="407ea779-b773-4460-a625-b2007399de7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ea779-b773-4460-a625-b2007399de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CC9A5B-28FC-4630-A77C-D8BD999F1A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ea779-b773-4460-a625-b2007399de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18B809-5533-4C29-B43D-9E2BA99F3B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3AF788-8E22-48C9-A3F0-006BF4E22C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4099</Words>
  <Characters>22546</Characters>
  <Application>Microsoft Office Word</Application>
  <DocSecurity>0</DocSecurity>
  <Lines>187</Lines>
  <Paragraphs>53</Paragraphs>
  <ScaleCrop>false</ScaleCrop>
  <Company/>
  <LinksUpToDate>false</LinksUpToDate>
  <CharactersWithSpaces>26592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Escobar</dc:creator>
  <cp:keywords/>
  <cp:lastModifiedBy>Isidora Escobar</cp:lastModifiedBy>
  <cp:revision>2</cp:revision>
  <dcterms:created xsi:type="dcterms:W3CDTF">2026-03-30T14:58:00Z</dcterms:created>
  <dcterms:modified xsi:type="dcterms:W3CDTF">2026-03-30T14:58:00Z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0x01010008743E91485A5E45879A9B731E1658E0</vt:lpwstr>
  </property>
  <property fmtid="{D5CDD505-2E9C-101B-9397-08002B2CF9AE}" pid="3" name="Order">
    <vt:r8>17000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