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36574" w:rsidRDefault="00657EF2">
      <w:pPr>
        <w:pStyle w:val="Ttulo1"/>
        <w:keepNext w:val="0"/>
        <w:keepLines w:val="0"/>
        <w:spacing w:before="480"/>
        <w:rPr>
          <w:rFonts w:ascii="Calibri" w:eastAsia="Calibri" w:hAnsi="Calibri" w:cs="Calibri"/>
          <w:b/>
          <w:bCs/>
          <w:color w:val="31849B"/>
          <w:sz w:val="28"/>
          <w:szCs w:val="28"/>
        </w:rPr>
      </w:pPr>
      <w:bookmarkStart w:id="0" w:name="_aj70bl1kcynt" w:colFirst="0" w:colLast="0"/>
      <w:bookmarkEnd w:id="0"/>
      <w:r>
        <w:rPr>
          <w:rFonts w:ascii="Calibri" w:eastAsia="Calibri" w:hAnsi="Calibri" w:cs="Calibri"/>
          <w:b/>
          <w:bCs/>
          <w:color w:val="31849B"/>
          <w:sz w:val="28"/>
          <w:szCs w:val="28"/>
        </w:rPr>
        <w:t>ANEXO C – Procedimiento Operativo revisión BCGF (Paso a Paso BackOffice)</w:t>
      </w:r>
    </w:p>
    <w:p w14:paraId="00000002" w14:textId="77777777" w:rsidR="00536574" w:rsidRDefault="00657EF2">
      <w:pPr>
        <w:spacing w:before="240" w:after="240"/>
        <w:rPr>
          <w:rFonts w:ascii="Calibri" w:eastAsia="Calibri" w:hAnsi="Calibri" w:cs="Calibri"/>
        </w:rPr>
      </w:pPr>
      <w:r>
        <w:rPr>
          <w:rFonts w:ascii="Calibri" w:eastAsia="Calibri" w:hAnsi="Calibri" w:cs="Calibri"/>
        </w:rPr>
        <w:t>Revisión de Boletas de Garantía en Estados de Pago (EDP)</w:t>
      </w:r>
      <w:r>
        <w:rPr>
          <w:rFonts w:ascii="Calibri" w:eastAsia="Calibri" w:hAnsi="Calibri" w:cs="Calibri"/>
        </w:rPr>
        <w:br/>
        <w:t xml:space="preserve"> </w:t>
      </w:r>
      <w:r>
        <w:rPr>
          <w:rFonts w:ascii="Calibri" w:eastAsia="Calibri" w:hAnsi="Calibri" w:cs="Calibri"/>
          <w:i/>
          <w:iCs/>
        </w:rPr>
        <w:t>(Casos de descalce de vigencia, monto y avance financiero)</w:t>
      </w:r>
    </w:p>
    <w:p w14:paraId="00000003" w14:textId="77777777" w:rsidR="00536574" w:rsidRDefault="00657EF2">
      <w:pPr>
        <w:spacing w:after="80"/>
        <w:rPr>
          <w:rFonts w:ascii="Calibri" w:eastAsia="Calibri" w:hAnsi="Calibri" w:cs="Calibri"/>
          <w:b/>
          <w:bCs/>
          <w:color w:val="31849B"/>
        </w:rPr>
      </w:pPr>
      <w:r>
        <w:rPr>
          <w:rFonts w:ascii="Calibri" w:eastAsia="Calibri" w:hAnsi="Calibri" w:cs="Calibri"/>
          <w:b/>
          <w:bCs/>
          <w:color w:val="31849B"/>
        </w:rPr>
        <w:t>1. Objetivo del Anexo</w:t>
      </w:r>
    </w:p>
    <w:p w14:paraId="00000004" w14:textId="77777777" w:rsidR="00536574" w:rsidRDefault="00657EF2">
      <w:pPr>
        <w:spacing w:before="240" w:after="240"/>
        <w:rPr>
          <w:rFonts w:ascii="Calibri" w:eastAsia="Calibri" w:hAnsi="Calibri" w:cs="Calibri"/>
        </w:rPr>
      </w:pPr>
      <w:r>
        <w:rPr>
          <w:rFonts w:ascii="Calibri" w:eastAsia="Calibri" w:hAnsi="Calibri" w:cs="Calibri"/>
        </w:rPr>
        <w:t>Establecer el procedimiento operativo detallado que debe ejecutar el equipo de BackOffice para la revisión de Boletas de Garantía de Fiel Cumplimiento (BGFC) asociadas a Estados de Pago (EDP), asegurando una aplicación homogénea de los criterios definidos en el presente instructivo, con adecuada trazabilidad y respaldo documental.</w:t>
      </w:r>
    </w:p>
    <w:p w14:paraId="00000005" w14:textId="77777777" w:rsidR="00536574" w:rsidRDefault="00657EF2">
      <w:pPr>
        <w:spacing w:before="240" w:after="240"/>
        <w:rPr>
          <w:rFonts w:ascii="Calibri" w:eastAsia="Calibri" w:hAnsi="Calibri" w:cs="Calibri"/>
        </w:rPr>
      </w:pPr>
      <w:r>
        <w:rPr>
          <w:rFonts w:ascii="Calibri" w:eastAsia="Calibri" w:hAnsi="Calibri" w:cs="Calibri"/>
        </w:rPr>
        <w:t>Este anexo tiene carácter operativo y de apoyo, y no reemplaza ni modifica los criterios de decisión, principios ni reglas establecidas en el cuerpo del instructivo.</w:t>
      </w:r>
    </w:p>
    <w:p w14:paraId="00000006" w14:textId="77777777" w:rsidR="00536574" w:rsidRDefault="00657EF2">
      <w:pPr>
        <w:spacing w:after="80"/>
        <w:rPr>
          <w:rFonts w:ascii="Calibri" w:eastAsia="Calibri" w:hAnsi="Calibri" w:cs="Calibri"/>
          <w:b/>
          <w:bCs/>
          <w:color w:val="31849B"/>
        </w:rPr>
      </w:pPr>
      <w:r>
        <w:rPr>
          <w:rFonts w:ascii="Calibri" w:eastAsia="Calibri" w:hAnsi="Calibri" w:cs="Calibri"/>
          <w:b/>
          <w:bCs/>
          <w:color w:val="31849B"/>
        </w:rPr>
        <w:t>2. Fuentes de Información</w:t>
      </w:r>
    </w:p>
    <w:p w14:paraId="00000007" w14:textId="77777777" w:rsidR="00536574" w:rsidRDefault="00657EF2">
      <w:pPr>
        <w:spacing w:before="240" w:after="240"/>
        <w:rPr>
          <w:rFonts w:ascii="Calibri" w:eastAsia="Calibri" w:hAnsi="Calibri" w:cs="Calibri"/>
        </w:rPr>
      </w:pPr>
      <w:r>
        <w:rPr>
          <w:rFonts w:ascii="Calibri" w:eastAsia="Calibri" w:hAnsi="Calibri" w:cs="Calibri"/>
        </w:rPr>
        <w:t>El procedimiento se ejecuta utilizando las siguientes fuentes oficiales:</w:t>
      </w:r>
    </w:p>
    <w:p w14:paraId="00000008" w14:textId="77777777" w:rsidR="00536574" w:rsidRDefault="00657EF2">
      <w:pPr>
        <w:numPr>
          <w:ilvl w:val="0"/>
          <w:numId w:val="3"/>
        </w:numPr>
        <w:spacing w:before="240" w:line="240" w:lineRule="auto"/>
        <w:rPr>
          <w:rFonts w:ascii="Calibri" w:eastAsia="Calibri" w:hAnsi="Calibri" w:cs="Calibri"/>
        </w:rPr>
      </w:pPr>
      <w:r>
        <w:rPr>
          <w:rFonts w:ascii="Calibri" w:eastAsia="Calibri" w:hAnsi="Calibri" w:cs="Calibri"/>
        </w:rPr>
        <w:t>Base de Datos Inventario de Contratos Vigentes (</w:t>
      </w:r>
      <w:proofErr w:type="spellStart"/>
      <w:r>
        <w:rPr>
          <w:rFonts w:ascii="Calibri" w:eastAsia="Calibri" w:hAnsi="Calibri" w:cs="Calibri"/>
        </w:rPr>
        <w:t>BD_Inv</w:t>
      </w:r>
      <w:proofErr w:type="spellEnd"/>
      <w:r>
        <w:rPr>
          <w:rFonts w:ascii="Calibri" w:eastAsia="Calibri" w:hAnsi="Calibri" w:cs="Calibri"/>
        </w:rPr>
        <w:t xml:space="preserve"> Contratos)</w:t>
      </w:r>
      <w:r>
        <w:rPr>
          <w:rFonts w:ascii="Calibri" w:eastAsia="Calibri" w:hAnsi="Calibri" w:cs="Calibri"/>
        </w:rPr>
        <w:br/>
      </w:r>
    </w:p>
    <w:p w14:paraId="00000009" w14:textId="77777777" w:rsidR="00536574" w:rsidRDefault="00657EF2">
      <w:pPr>
        <w:numPr>
          <w:ilvl w:val="0"/>
          <w:numId w:val="3"/>
        </w:numPr>
        <w:spacing w:line="240" w:lineRule="auto"/>
        <w:rPr>
          <w:rFonts w:ascii="Calibri" w:eastAsia="Calibri" w:hAnsi="Calibri" w:cs="Calibri"/>
        </w:rPr>
      </w:pPr>
      <w:r>
        <w:rPr>
          <w:rFonts w:ascii="Calibri" w:eastAsia="Calibri" w:hAnsi="Calibri" w:cs="Calibri"/>
        </w:rPr>
        <w:t>Base de Datos de Boletas de Garantía (</w:t>
      </w:r>
      <w:proofErr w:type="spellStart"/>
      <w:r>
        <w:rPr>
          <w:rFonts w:ascii="Calibri" w:eastAsia="Calibri" w:hAnsi="Calibri" w:cs="Calibri"/>
        </w:rPr>
        <w:t>BD_Boletas</w:t>
      </w:r>
      <w:proofErr w:type="spellEnd"/>
      <w:r>
        <w:rPr>
          <w:rFonts w:ascii="Calibri" w:eastAsia="Calibri" w:hAnsi="Calibri" w:cs="Calibri"/>
        </w:rPr>
        <w:t>)</w:t>
      </w:r>
      <w:r>
        <w:rPr>
          <w:rFonts w:ascii="Calibri" w:eastAsia="Calibri" w:hAnsi="Calibri" w:cs="Calibri"/>
        </w:rPr>
        <w:br/>
      </w:r>
    </w:p>
    <w:p w14:paraId="0000000A" w14:textId="77777777" w:rsidR="00536574" w:rsidRDefault="00657EF2">
      <w:pPr>
        <w:numPr>
          <w:ilvl w:val="0"/>
          <w:numId w:val="3"/>
        </w:numPr>
        <w:spacing w:line="240" w:lineRule="auto"/>
        <w:rPr>
          <w:rFonts w:ascii="Calibri" w:eastAsia="Calibri" w:hAnsi="Calibri" w:cs="Calibri"/>
        </w:rPr>
      </w:pPr>
      <w:r>
        <w:rPr>
          <w:rFonts w:ascii="Calibri" w:eastAsia="Calibri" w:hAnsi="Calibri" w:cs="Calibri"/>
        </w:rPr>
        <w:t>SAP – Transacción ZFI-151: Gestión de Garantías</w:t>
      </w:r>
      <w:r>
        <w:rPr>
          <w:rFonts w:ascii="Calibri" w:eastAsia="Calibri" w:hAnsi="Calibri" w:cs="Calibri"/>
        </w:rPr>
        <w:br/>
      </w:r>
    </w:p>
    <w:p w14:paraId="0000000B" w14:textId="77777777" w:rsidR="00536574" w:rsidRDefault="00657EF2">
      <w:pPr>
        <w:numPr>
          <w:ilvl w:val="0"/>
          <w:numId w:val="3"/>
        </w:numPr>
        <w:spacing w:after="240" w:line="240" w:lineRule="auto"/>
        <w:rPr>
          <w:rFonts w:ascii="Calibri" w:eastAsia="Calibri" w:hAnsi="Calibri" w:cs="Calibri"/>
        </w:rPr>
      </w:pPr>
      <w:r>
        <w:rPr>
          <w:rFonts w:ascii="Calibri" w:eastAsia="Calibri" w:hAnsi="Calibri" w:cs="Calibri"/>
        </w:rPr>
        <w:t>Documentación contractual disponible en SAP (contrato base, modificaciones, anexos y finiquitos parciales, cuando aplique)</w:t>
      </w:r>
    </w:p>
    <w:p w14:paraId="0000000C" w14:textId="77777777" w:rsidR="00536574" w:rsidRDefault="00657EF2">
      <w:pPr>
        <w:spacing w:after="80"/>
        <w:rPr>
          <w:rFonts w:ascii="Calibri" w:eastAsia="Calibri" w:hAnsi="Calibri" w:cs="Calibri"/>
          <w:b/>
          <w:bCs/>
          <w:color w:val="31849B"/>
        </w:rPr>
      </w:pPr>
      <w:r>
        <w:rPr>
          <w:rFonts w:ascii="Calibri" w:eastAsia="Calibri" w:hAnsi="Calibri" w:cs="Calibri"/>
          <w:b/>
          <w:bCs/>
          <w:color w:val="31849B"/>
        </w:rPr>
        <w:t>3. Preparación y Normalización de Bases de Datos</w:t>
      </w:r>
    </w:p>
    <w:p w14:paraId="0000000D" w14:textId="77777777" w:rsidR="00536574" w:rsidRDefault="00657EF2">
      <w:pPr>
        <w:spacing w:before="280"/>
        <w:ind w:left="720"/>
        <w:rPr>
          <w:rFonts w:ascii="Calibri" w:eastAsia="Calibri" w:hAnsi="Calibri" w:cs="Calibri"/>
          <w:b/>
          <w:bCs/>
          <w:color w:val="31849B"/>
        </w:rPr>
      </w:pPr>
      <w:r>
        <w:rPr>
          <w:rFonts w:ascii="Calibri" w:eastAsia="Calibri" w:hAnsi="Calibri" w:cs="Calibri"/>
          <w:b/>
          <w:bCs/>
          <w:color w:val="31849B"/>
        </w:rPr>
        <w:t>3.1 Base Inventario de Contratos (</w:t>
      </w:r>
      <w:proofErr w:type="spellStart"/>
      <w:r>
        <w:rPr>
          <w:rFonts w:ascii="Calibri" w:eastAsia="Calibri" w:hAnsi="Calibri" w:cs="Calibri"/>
          <w:b/>
          <w:bCs/>
          <w:color w:val="31849B"/>
        </w:rPr>
        <w:t>BD_Inv</w:t>
      </w:r>
      <w:proofErr w:type="spellEnd"/>
      <w:r>
        <w:rPr>
          <w:rFonts w:ascii="Calibri" w:eastAsia="Calibri" w:hAnsi="Calibri" w:cs="Calibri"/>
          <w:b/>
          <w:bCs/>
          <w:color w:val="31849B"/>
        </w:rPr>
        <w:t xml:space="preserve"> Contratos)</w:t>
      </w:r>
    </w:p>
    <w:p w14:paraId="0000000E" w14:textId="77777777" w:rsidR="00536574" w:rsidRDefault="00657EF2">
      <w:pPr>
        <w:spacing w:before="240" w:after="240"/>
        <w:ind w:left="720"/>
        <w:rPr>
          <w:rFonts w:ascii="Calibri" w:eastAsia="Calibri" w:hAnsi="Calibri" w:cs="Calibri"/>
        </w:rPr>
      </w:pPr>
      <w:r>
        <w:rPr>
          <w:rFonts w:ascii="Calibri" w:eastAsia="Calibri" w:hAnsi="Calibri" w:cs="Calibri"/>
        </w:rPr>
        <w:t>Desde la base de Inventario de Contratos Vigentes se obtiene la información contractual base, incluyendo al menos los siguientes campos:</w:t>
      </w:r>
    </w:p>
    <w:p w14:paraId="0000000F" w14:textId="77777777" w:rsidR="00536574" w:rsidRDefault="00657EF2">
      <w:pPr>
        <w:numPr>
          <w:ilvl w:val="0"/>
          <w:numId w:val="11"/>
        </w:numPr>
        <w:spacing w:before="240" w:line="240" w:lineRule="auto"/>
        <w:ind w:left="1440"/>
        <w:rPr>
          <w:rFonts w:ascii="Calibri" w:eastAsia="Calibri" w:hAnsi="Calibri" w:cs="Calibri"/>
        </w:rPr>
      </w:pPr>
      <w:r>
        <w:rPr>
          <w:rFonts w:ascii="Calibri" w:eastAsia="Calibri" w:hAnsi="Calibri" w:cs="Calibri"/>
        </w:rPr>
        <w:t>Número de Contrato</w:t>
      </w:r>
      <w:r>
        <w:rPr>
          <w:rFonts w:ascii="Calibri" w:eastAsia="Calibri" w:hAnsi="Calibri" w:cs="Calibri"/>
        </w:rPr>
        <w:br/>
      </w:r>
    </w:p>
    <w:p w14:paraId="00000010" w14:textId="77777777" w:rsidR="00536574" w:rsidRDefault="00657EF2">
      <w:pPr>
        <w:numPr>
          <w:ilvl w:val="0"/>
          <w:numId w:val="11"/>
        </w:numPr>
        <w:spacing w:line="240" w:lineRule="auto"/>
        <w:ind w:left="1440"/>
        <w:rPr>
          <w:rFonts w:ascii="Calibri" w:eastAsia="Calibri" w:hAnsi="Calibri" w:cs="Calibri"/>
        </w:rPr>
      </w:pPr>
      <w:r>
        <w:rPr>
          <w:rFonts w:ascii="Calibri" w:eastAsia="Calibri" w:hAnsi="Calibri" w:cs="Calibri"/>
        </w:rPr>
        <w:t>Pedido Específico</w:t>
      </w:r>
      <w:r>
        <w:rPr>
          <w:rFonts w:ascii="Calibri" w:eastAsia="Calibri" w:hAnsi="Calibri" w:cs="Calibri"/>
        </w:rPr>
        <w:br/>
      </w:r>
    </w:p>
    <w:p w14:paraId="00000011" w14:textId="77777777" w:rsidR="00536574" w:rsidRDefault="00657EF2">
      <w:pPr>
        <w:numPr>
          <w:ilvl w:val="0"/>
          <w:numId w:val="11"/>
        </w:numPr>
        <w:spacing w:line="240" w:lineRule="auto"/>
        <w:ind w:left="1440"/>
        <w:rPr>
          <w:rFonts w:ascii="Calibri" w:eastAsia="Calibri" w:hAnsi="Calibri" w:cs="Calibri"/>
        </w:rPr>
      </w:pPr>
      <w:r>
        <w:rPr>
          <w:rFonts w:ascii="Calibri" w:eastAsia="Calibri" w:hAnsi="Calibri" w:cs="Calibri"/>
        </w:rPr>
        <w:t>Descripción del Servicio</w:t>
      </w:r>
      <w:r>
        <w:rPr>
          <w:rFonts w:ascii="Calibri" w:eastAsia="Calibri" w:hAnsi="Calibri" w:cs="Calibri"/>
        </w:rPr>
        <w:br/>
      </w:r>
    </w:p>
    <w:p w14:paraId="00000012" w14:textId="77777777" w:rsidR="00536574" w:rsidRDefault="00657EF2">
      <w:pPr>
        <w:numPr>
          <w:ilvl w:val="0"/>
          <w:numId w:val="11"/>
        </w:numPr>
        <w:spacing w:line="240" w:lineRule="auto"/>
        <w:ind w:left="1440"/>
        <w:rPr>
          <w:rFonts w:ascii="Calibri" w:eastAsia="Calibri" w:hAnsi="Calibri" w:cs="Calibri"/>
        </w:rPr>
      </w:pPr>
      <w:r>
        <w:rPr>
          <w:rFonts w:ascii="Calibri" w:eastAsia="Calibri" w:hAnsi="Calibri" w:cs="Calibri"/>
        </w:rPr>
        <w:t>Proveedor / Empresa Contratista</w:t>
      </w:r>
      <w:r>
        <w:rPr>
          <w:rFonts w:ascii="Calibri" w:eastAsia="Calibri" w:hAnsi="Calibri" w:cs="Calibri"/>
        </w:rPr>
        <w:br/>
      </w:r>
    </w:p>
    <w:p w14:paraId="00000013" w14:textId="77777777" w:rsidR="00536574" w:rsidRDefault="00657EF2">
      <w:pPr>
        <w:numPr>
          <w:ilvl w:val="0"/>
          <w:numId w:val="11"/>
        </w:numPr>
        <w:spacing w:line="240" w:lineRule="auto"/>
        <w:ind w:left="1440"/>
        <w:rPr>
          <w:rFonts w:ascii="Calibri" w:eastAsia="Calibri" w:hAnsi="Calibri" w:cs="Calibri"/>
        </w:rPr>
      </w:pPr>
      <w:r>
        <w:rPr>
          <w:rFonts w:ascii="Calibri" w:eastAsia="Calibri" w:hAnsi="Calibri" w:cs="Calibri"/>
        </w:rPr>
        <w:t>Administrador del Contrato (</w:t>
      </w:r>
      <w:proofErr w:type="spellStart"/>
      <w:r>
        <w:rPr>
          <w:rFonts w:ascii="Calibri" w:eastAsia="Calibri" w:hAnsi="Calibri" w:cs="Calibri"/>
        </w:rPr>
        <w:t>AdC</w:t>
      </w:r>
      <w:proofErr w:type="spellEnd"/>
      <w:r>
        <w:rPr>
          <w:rFonts w:ascii="Calibri" w:eastAsia="Calibri" w:hAnsi="Calibri" w:cs="Calibri"/>
        </w:rPr>
        <w:t>)</w:t>
      </w:r>
      <w:r>
        <w:rPr>
          <w:rFonts w:ascii="Calibri" w:eastAsia="Calibri" w:hAnsi="Calibri" w:cs="Calibri"/>
        </w:rPr>
        <w:br/>
      </w:r>
    </w:p>
    <w:p w14:paraId="00000014" w14:textId="77777777" w:rsidR="00536574" w:rsidRDefault="00657EF2">
      <w:pPr>
        <w:numPr>
          <w:ilvl w:val="0"/>
          <w:numId w:val="11"/>
        </w:numPr>
        <w:spacing w:line="240" w:lineRule="auto"/>
        <w:ind w:left="1440"/>
        <w:rPr>
          <w:rFonts w:ascii="Calibri" w:eastAsia="Calibri" w:hAnsi="Calibri" w:cs="Calibri"/>
        </w:rPr>
      </w:pPr>
      <w:r>
        <w:rPr>
          <w:rFonts w:ascii="Calibri" w:eastAsia="Calibri" w:hAnsi="Calibri" w:cs="Calibri"/>
        </w:rPr>
        <w:t>Faena / Gerencia</w:t>
      </w:r>
      <w:r>
        <w:rPr>
          <w:rFonts w:ascii="Calibri" w:eastAsia="Calibri" w:hAnsi="Calibri" w:cs="Calibri"/>
        </w:rPr>
        <w:br/>
      </w:r>
    </w:p>
    <w:p w14:paraId="00000015" w14:textId="77777777" w:rsidR="00536574" w:rsidRDefault="00657EF2">
      <w:pPr>
        <w:numPr>
          <w:ilvl w:val="0"/>
          <w:numId w:val="11"/>
        </w:numPr>
        <w:spacing w:line="240" w:lineRule="auto"/>
        <w:ind w:left="1440"/>
        <w:rPr>
          <w:rFonts w:ascii="Calibri" w:eastAsia="Calibri" w:hAnsi="Calibri" w:cs="Calibri"/>
        </w:rPr>
      </w:pPr>
      <w:r>
        <w:rPr>
          <w:rFonts w:ascii="Calibri" w:eastAsia="Calibri" w:hAnsi="Calibri" w:cs="Calibri"/>
        </w:rPr>
        <w:lastRenderedPageBreak/>
        <w:t>Fecha de inicio y término contractual</w:t>
      </w:r>
      <w:r>
        <w:rPr>
          <w:rFonts w:ascii="Calibri" w:eastAsia="Calibri" w:hAnsi="Calibri" w:cs="Calibri"/>
        </w:rPr>
        <w:br/>
      </w:r>
    </w:p>
    <w:p w14:paraId="00000016" w14:textId="77777777" w:rsidR="00536574" w:rsidRDefault="00657EF2">
      <w:pPr>
        <w:numPr>
          <w:ilvl w:val="0"/>
          <w:numId w:val="11"/>
        </w:numPr>
        <w:spacing w:after="240" w:line="240" w:lineRule="auto"/>
        <w:ind w:left="1440"/>
        <w:rPr>
          <w:rFonts w:ascii="Calibri" w:eastAsia="Calibri" w:hAnsi="Calibri" w:cs="Calibri"/>
        </w:rPr>
      </w:pPr>
      <w:r>
        <w:rPr>
          <w:rFonts w:ascii="Calibri" w:eastAsia="Calibri" w:hAnsi="Calibri" w:cs="Calibri"/>
        </w:rPr>
        <w:t>Monto contractual total (incluye modificaciones)</w:t>
      </w:r>
      <w:r>
        <w:rPr>
          <w:rFonts w:ascii="Calibri" w:eastAsia="Calibri" w:hAnsi="Calibri" w:cs="Calibri"/>
        </w:rPr>
        <w:br/>
      </w:r>
    </w:p>
    <w:p w14:paraId="00000017" w14:textId="77777777" w:rsidR="00536574" w:rsidRDefault="00657EF2">
      <w:pPr>
        <w:spacing w:before="240" w:after="240"/>
        <w:ind w:left="720"/>
        <w:rPr>
          <w:rFonts w:ascii="Calibri" w:eastAsia="Calibri" w:hAnsi="Calibri" w:cs="Calibri"/>
        </w:rPr>
      </w:pPr>
      <w:r>
        <w:rPr>
          <w:rFonts w:ascii="Calibri" w:eastAsia="Calibri" w:hAnsi="Calibri" w:cs="Calibri"/>
        </w:rPr>
        <w:t>Nota:</w:t>
      </w:r>
      <w:r>
        <w:rPr>
          <w:rFonts w:ascii="Calibri" w:eastAsia="Calibri" w:hAnsi="Calibri" w:cs="Calibri"/>
        </w:rPr>
        <w:br/>
        <w:t xml:space="preserve"> El monto contractual en esta base se encuentra expresado en KUSD, por lo que debe ser normalizado a USD para efectos de cruce con la base de boletas.</w:t>
      </w:r>
    </w:p>
    <w:p w14:paraId="00000018" w14:textId="77777777" w:rsidR="00536574" w:rsidRDefault="00657EF2">
      <w:pPr>
        <w:ind w:left="720"/>
        <w:rPr>
          <w:rFonts w:ascii="Calibri" w:eastAsia="Calibri" w:hAnsi="Calibri" w:cs="Calibri"/>
          <w:b/>
          <w:bCs/>
          <w:color w:val="31849B"/>
        </w:rPr>
      </w:pPr>
      <w:r>
        <w:rPr>
          <w:rFonts w:ascii="Calibri" w:eastAsia="Calibri" w:hAnsi="Calibri" w:cs="Calibri"/>
          <w:b/>
          <w:bCs/>
          <w:color w:val="31849B"/>
        </w:rPr>
        <w:t>3.2 Base de Boletas de Garantía (</w:t>
      </w:r>
      <w:proofErr w:type="spellStart"/>
      <w:r>
        <w:rPr>
          <w:rFonts w:ascii="Calibri" w:eastAsia="Calibri" w:hAnsi="Calibri" w:cs="Calibri"/>
          <w:b/>
          <w:bCs/>
          <w:color w:val="31849B"/>
        </w:rPr>
        <w:t>BD_Boletas</w:t>
      </w:r>
      <w:proofErr w:type="spellEnd"/>
      <w:r>
        <w:rPr>
          <w:rFonts w:ascii="Calibri" w:eastAsia="Calibri" w:hAnsi="Calibri" w:cs="Calibri"/>
          <w:b/>
          <w:bCs/>
          <w:color w:val="31849B"/>
        </w:rPr>
        <w:t>)</w:t>
      </w:r>
    </w:p>
    <w:p w14:paraId="00000019" w14:textId="77777777" w:rsidR="00536574" w:rsidRDefault="00657EF2">
      <w:pPr>
        <w:spacing w:before="240" w:after="240" w:line="240" w:lineRule="auto"/>
        <w:ind w:left="720"/>
        <w:rPr>
          <w:rFonts w:ascii="Calibri" w:eastAsia="Calibri" w:hAnsi="Calibri" w:cs="Calibri"/>
        </w:rPr>
      </w:pPr>
      <w:r>
        <w:rPr>
          <w:rFonts w:ascii="Calibri" w:eastAsia="Calibri" w:hAnsi="Calibri" w:cs="Calibri"/>
        </w:rPr>
        <w:t xml:space="preserve">La base </w:t>
      </w:r>
      <w:proofErr w:type="spellStart"/>
      <w:r>
        <w:rPr>
          <w:rFonts w:ascii="Calibri" w:eastAsia="Calibri" w:hAnsi="Calibri" w:cs="Calibri"/>
        </w:rPr>
        <w:t>BD_Boletas</w:t>
      </w:r>
      <w:proofErr w:type="spellEnd"/>
      <w:r>
        <w:rPr>
          <w:rFonts w:ascii="Calibri" w:eastAsia="Calibri" w:hAnsi="Calibri" w:cs="Calibri"/>
        </w:rPr>
        <w:t xml:space="preserve"> consolida información proveniente de SAP y debe contener, al menos, los siguientes campos:</w:t>
      </w:r>
    </w:p>
    <w:p w14:paraId="0000001A" w14:textId="77777777" w:rsidR="00536574" w:rsidRDefault="00657EF2">
      <w:pPr>
        <w:numPr>
          <w:ilvl w:val="0"/>
          <w:numId w:val="5"/>
        </w:numPr>
        <w:spacing w:before="240" w:line="240" w:lineRule="auto"/>
        <w:ind w:left="1440"/>
        <w:rPr>
          <w:rFonts w:ascii="Calibri" w:eastAsia="Calibri" w:hAnsi="Calibri" w:cs="Calibri"/>
        </w:rPr>
      </w:pPr>
      <w:r>
        <w:rPr>
          <w:rFonts w:ascii="Calibri" w:eastAsia="Calibri" w:hAnsi="Calibri" w:cs="Calibri"/>
        </w:rPr>
        <w:t>¿Aplica Boleta de Garantía?</w:t>
      </w:r>
      <w:r>
        <w:rPr>
          <w:rFonts w:ascii="Calibri" w:eastAsia="Calibri" w:hAnsi="Calibri" w:cs="Calibri"/>
        </w:rPr>
        <w:br/>
      </w:r>
    </w:p>
    <w:p w14:paraId="0000001B" w14:textId="77777777" w:rsidR="00536574" w:rsidRDefault="00657EF2">
      <w:pPr>
        <w:numPr>
          <w:ilvl w:val="0"/>
          <w:numId w:val="5"/>
        </w:numPr>
        <w:spacing w:line="240" w:lineRule="auto"/>
        <w:ind w:left="1440"/>
        <w:rPr>
          <w:rFonts w:ascii="Calibri" w:eastAsia="Calibri" w:hAnsi="Calibri" w:cs="Calibri"/>
        </w:rPr>
      </w:pPr>
      <w:r>
        <w:rPr>
          <w:rFonts w:ascii="Calibri" w:eastAsia="Calibri" w:hAnsi="Calibri" w:cs="Calibri"/>
        </w:rPr>
        <w:t>Número de Boleta</w:t>
      </w:r>
      <w:r>
        <w:rPr>
          <w:rFonts w:ascii="Calibri" w:eastAsia="Calibri" w:hAnsi="Calibri" w:cs="Calibri"/>
        </w:rPr>
        <w:br/>
      </w:r>
    </w:p>
    <w:p w14:paraId="0000001C" w14:textId="77777777" w:rsidR="00536574" w:rsidRDefault="00657EF2">
      <w:pPr>
        <w:numPr>
          <w:ilvl w:val="0"/>
          <w:numId w:val="5"/>
        </w:numPr>
        <w:spacing w:line="240" w:lineRule="auto"/>
        <w:ind w:left="1440"/>
        <w:rPr>
          <w:rFonts w:ascii="Calibri" w:eastAsia="Calibri" w:hAnsi="Calibri" w:cs="Calibri"/>
        </w:rPr>
      </w:pPr>
      <w:r>
        <w:rPr>
          <w:rFonts w:ascii="Calibri" w:eastAsia="Calibri" w:hAnsi="Calibri" w:cs="Calibri"/>
        </w:rPr>
        <w:t>¿Boleta Vigente?</w:t>
      </w:r>
      <w:r>
        <w:rPr>
          <w:rFonts w:ascii="Calibri" w:eastAsia="Calibri" w:hAnsi="Calibri" w:cs="Calibri"/>
        </w:rPr>
        <w:br/>
      </w:r>
    </w:p>
    <w:p w14:paraId="0000001D" w14:textId="77777777" w:rsidR="00536574" w:rsidRDefault="00657EF2">
      <w:pPr>
        <w:numPr>
          <w:ilvl w:val="0"/>
          <w:numId w:val="5"/>
        </w:numPr>
        <w:spacing w:line="240" w:lineRule="auto"/>
        <w:ind w:left="1440"/>
        <w:rPr>
          <w:rFonts w:ascii="Calibri" w:eastAsia="Calibri" w:hAnsi="Calibri" w:cs="Calibri"/>
        </w:rPr>
      </w:pPr>
      <w:r>
        <w:rPr>
          <w:rFonts w:ascii="Calibri" w:eastAsia="Calibri" w:hAnsi="Calibri" w:cs="Calibri"/>
        </w:rPr>
        <w:t>Fecha de Vencimiento</w:t>
      </w:r>
      <w:r>
        <w:rPr>
          <w:rFonts w:ascii="Calibri" w:eastAsia="Calibri" w:hAnsi="Calibri" w:cs="Calibri"/>
        </w:rPr>
        <w:br/>
      </w:r>
    </w:p>
    <w:p w14:paraId="0000001E" w14:textId="77777777" w:rsidR="00536574" w:rsidRDefault="00657EF2">
      <w:pPr>
        <w:numPr>
          <w:ilvl w:val="0"/>
          <w:numId w:val="5"/>
        </w:numPr>
        <w:spacing w:line="240" w:lineRule="auto"/>
        <w:ind w:left="1440"/>
        <w:rPr>
          <w:rFonts w:ascii="Calibri" w:eastAsia="Calibri" w:hAnsi="Calibri" w:cs="Calibri"/>
        </w:rPr>
      </w:pPr>
      <w:r>
        <w:rPr>
          <w:rFonts w:ascii="Calibri" w:eastAsia="Calibri" w:hAnsi="Calibri" w:cs="Calibri"/>
        </w:rPr>
        <w:t>Monto de la Boleta (USD)</w:t>
      </w:r>
      <w:r>
        <w:rPr>
          <w:rFonts w:ascii="Calibri" w:eastAsia="Calibri" w:hAnsi="Calibri" w:cs="Calibri"/>
        </w:rPr>
        <w:br/>
      </w:r>
    </w:p>
    <w:p w14:paraId="0000001F" w14:textId="77777777" w:rsidR="00536574" w:rsidRDefault="00657EF2">
      <w:pPr>
        <w:numPr>
          <w:ilvl w:val="0"/>
          <w:numId w:val="5"/>
        </w:numPr>
        <w:spacing w:line="240" w:lineRule="auto"/>
        <w:ind w:left="1440"/>
        <w:rPr>
          <w:rFonts w:ascii="Calibri" w:eastAsia="Calibri" w:hAnsi="Calibri" w:cs="Calibri"/>
        </w:rPr>
      </w:pPr>
      <w:r>
        <w:rPr>
          <w:rFonts w:ascii="Calibri" w:eastAsia="Calibri" w:hAnsi="Calibri" w:cs="Calibri"/>
        </w:rPr>
        <w:t>Porcentaje de cobertura</w:t>
      </w:r>
      <w:r>
        <w:rPr>
          <w:rFonts w:ascii="Calibri" w:eastAsia="Calibri" w:hAnsi="Calibri" w:cs="Calibri"/>
        </w:rPr>
        <w:br/>
      </w:r>
    </w:p>
    <w:p w14:paraId="00000020" w14:textId="77777777" w:rsidR="00536574" w:rsidRDefault="00657EF2">
      <w:pPr>
        <w:numPr>
          <w:ilvl w:val="0"/>
          <w:numId w:val="5"/>
        </w:numPr>
        <w:spacing w:line="240" w:lineRule="auto"/>
        <w:ind w:left="1440"/>
        <w:rPr>
          <w:rFonts w:ascii="Calibri" w:eastAsia="Calibri" w:hAnsi="Calibri" w:cs="Calibri"/>
        </w:rPr>
      </w:pPr>
      <w:r>
        <w:rPr>
          <w:rFonts w:ascii="Calibri" w:eastAsia="Calibri" w:hAnsi="Calibri" w:cs="Calibri"/>
        </w:rPr>
        <w:t>Estado de la Boleta</w:t>
      </w:r>
      <w:r>
        <w:rPr>
          <w:rFonts w:ascii="Calibri" w:eastAsia="Calibri" w:hAnsi="Calibri" w:cs="Calibri"/>
        </w:rPr>
        <w:br/>
      </w:r>
    </w:p>
    <w:p w14:paraId="00000021" w14:textId="77777777" w:rsidR="00536574" w:rsidRDefault="00657EF2">
      <w:pPr>
        <w:numPr>
          <w:ilvl w:val="0"/>
          <w:numId w:val="5"/>
        </w:numPr>
        <w:spacing w:line="240" w:lineRule="auto"/>
        <w:ind w:left="1440"/>
        <w:rPr>
          <w:rFonts w:ascii="Calibri" w:eastAsia="Calibri" w:hAnsi="Calibri" w:cs="Calibri"/>
        </w:rPr>
      </w:pPr>
      <w:r>
        <w:rPr>
          <w:rFonts w:ascii="Calibri" w:eastAsia="Calibri" w:hAnsi="Calibri" w:cs="Calibri"/>
        </w:rPr>
        <w:t>Comentarios</w:t>
      </w:r>
      <w:r>
        <w:rPr>
          <w:rFonts w:ascii="Calibri" w:eastAsia="Calibri" w:hAnsi="Calibri" w:cs="Calibri"/>
        </w:rPr>
        <w:br/>
      </w:r>
    </w:p>
    <w:p w14:paraId="00000022" w14:textId="77777777" w:rsidR="00536574" w:rsidRDefault="00657EF2">
      <w:pPr>
        <w:numPr>
          <w:ilvl w:val="0"/>
          <w:numId w:val="5"/>
        </w:numPr>
        <w:spacing w:after="240" w:line="240" w:lineRule="auto"/>
        <w:ind w:left="1440"/>
        <w:rPr>
          <w:rFonts w:ascii="Calibri" w:eastAsia="Calibri" w:hAnsi="Calibri" w:cs="Calibri"/>
        </w:rPr>
      </w:pPr>
      <w:r>
        <w:rPr>
          <w:rFonts w:ascii="Calibri" w:eastAsia="Calibri" w:hAnsi="Calibri" w:cs="Calibri"/>
        </w:rPr>
        <w:t>Identificación de Casos Especiales (</w:t>
      </w:r>
      <w:proofErr w:type="spellStart"/>
      <w:r>
        <w:rPr>
          <w:rFonts w:ascii="Calibri" w:eastAsia="Calibri" w:hAnsi="Calibri" w:cs="Calibri"/>
        </w:rPr>
        <w:t>AplicaBG</w:t>
      </w:r>
      <w:proofErr w:type="spellEnd"/>
      <w:r>
        <w:rPr>
          <w:rFonts w:ascii="Calibri" w:eastAsia="Calibri" w:hAnsi="Calibri" w:cs="Calibri"/>
        </w:rPr>
        <w:t>)</w:t>
      </w:r>
      <w:r>
        <w:rPr>
          <w:rFonts w:ascii="Calibri" w:eastAsia="Calibri" w:hAnsi="Calibri" w:cs="Calibri"/>
        </w:rPr>
        <w:br/>
      </w:r>
    </w:p>
    <w:p w14:paraId="00000023" w14:textId="77777777" w:rsidR="00536574" w:rsidRDefault="00657EF2">
      <w:pPr>
        <w:spacing w:before="240" w:after="240"/>
        <w:ind w:left="720"/>
        <w:rPr>
          <w:rFonts w:ascii="Calibri" w:eastAsia="Calibri" w:hAnsi="Calibri" w:cs="Calibri"/>
        </w:rPr>
      </w:pPr>
      <w:r>
        <w:rPr>
          <w:rFonts w:ascii="Calibri" w:eastAsia="Calibri" w:hAnsi="Calibri" w:cs="Calibri"/>
        </w:rPr>
        <w:t>Previo al análisis, se debe verificar que los formatos y tipos de datos sean consistentes (por ejemplo, contratos en formato numérico).</w:t>
      </w:r>
    </w:p>
    <w:p w14:paraId="00000024" w14:textId="77777777" w:rsidR="00536574" w:rsidRDefault="00536574">
      <w:pPr>
        <w:ind w:left="720"/>
        <w:rPr>
          <w:rFonts w:ascii="Calibri" w:eastAsia="Calibri" w:hAnsi="Calibri" w:cs="Calibri"/>
        </w:rPr>
      </w:pPr>
    </w:p>
    <w:p w14:paraId="00000025" w14:textId="77777777" w:rsidR="00536574" w:rsidRDefault="00657EF2">
      <w:pPr>
        <w:spacing w:after="80"/>
        <w:rPr>
          <w:rFonts w:ascii="Calibri" w:eastAsia="Calibri" w:hAnsi="Calibri" w:cs="Calibri"/>
          <w:b/>
          <w:bCs/>
          <w:color w:val="31849B"/>
        </w:rPr>
      </w:pPr>
      <w:r>
        <w:rPr>
          <w:rFonts w:ascii="Calibri" w:eastAsia="Calibri" w:hAnsi="Calibri" w:cs="Calibri"/>
          <w:b/>
          <w:bCs/>
          <w:color w:val="31849B"/>
        </w:rPr>
        <w:t>4. Descarga y Depuración de Información desde SAP</w:t>
      </w:r>
    </w:p>
    <w:p w14:paraId="00000026" w14:textId="77777777" w:rsidR="00536574" w:rsidRDefault="00657EF2">
      <w:pPr>
        <w:spacing w:before="280"/>
        <w:ind w:left="720"/>
        <w:rPr>
          <w:rFonts w:ascii="Calibri" w:eastAsia="Calibri" w:hAnsi="Calibri" w:cs="Calibri"/>
          <w:b/>
          <w:bCs/>
          <w:color w:val="31849B"/>
        </w:rPr>
      </w:pPr>
      <w:r>
        <w:rPr>
          <w:rFonts w:ascii="Calibri" w:eastAsia="Calibri" w:hAnsi="Calibri" w:cs="Calibri"/>
          <w:b/>
          <w:bCs/>
          <w:color w:val="31849B"/>
        </w:rPr>
        <w:t>4.1 Acceso a SAP</w:t>
      </w:r>
    </w:p>
    <w:p w14:paraId="00000027" w14:textId="77777777" w:rsidR="00536574" w:rsidRDefault="00657EF2">
      <w:pPr>
        <w:numPr>
          <w:ilvl w:val="0"/>
          <w:numId w:val="2"/>
        </w:numPr>
        <w:spacing w:before="240"/>
        <w:ind w:left="1440"/>
        <w:rPr>
          <w:rFonts w:ascii="Calibri" w:eastAsia="Calibri" w:hAnsi="Calibri" w:cs="Calibri"/>
        </w:rPr>
      </w:pPr>
      <w:r>
        <w:rPr>
          <w:rFonts w:ascii="Calibri" w:eastAsia="Calibri" w:hAnsi="Calibri" w:cs="Calibri"/>
        </w:rPr>
        <w:t>Ingresar a SAP.</w:t>
      </w:r>
      <w:r>
        <w:rPr>
          <w:rFonts w:ascii="Calibri" w:eastAsia="Calibri" w:hAnsi="Calibri" w:cs="Calibri"/>
        </w:rPr>
        <w:br/>
      </w:r>
    </w:p>
    <w:p w14:paraId="00000028" w14:textId="77777777" w:rsidR="00536574" w:rsidRDefault="00657EF2">
      <w:pPr>
        <w:numPr>
          <w:ilvl w:val="0"/>
          <w:numId w:val="2"/>
        </w:numPr>
        <w:ind w:left="1440"/>
      </w:pPr>
      <w:r>
        <w:rPr>
          <w:rFonts w:ascii="Calibri" w:eastAsia="Calibri" w:hAnsi="Calibri" w:cs="Calibri"/>
        </w:rPr>
        <w:t>Acceder a la transacción ZFI-151 – Gestión de Garantías.</w:t>
      </w:r>
      <w:r>
        <w:rPr>
          <w:rFonts w:ascii="Calibri" w:eastAsia="Calibri" w:hAnsi="Calibri" w:cs="Calibri"/>
        </w:rPr>
        <w:br/>
      </w:r>
    </w:p>
    <w:p w14:paraId="00000029" w14:textId="77777777" w:rsidR="00536574" w:rsidRDefault="00657EF2">
      <w:pPr>
        <w:numPr>
          <w:ilvl w:val="0"/>
          <w:numId w:val="2"/>
        </w:numPr>
        <w:spacing w:after="240"/>
        <w:ind w:left="1440"/>
      </w:pPr>
      <w:r>
        <w:rPr>
          <w:rFonts w:ascii="Calibri" w:eastAsia="Calibri" w:hAnsi="Calibri" w:cs="Calibri"/>
        </w:rPr>
        <w:t>Seleccionar la opción Reporte de Garantías.</w:t>
      </w:r>
    </w:p>
    <w:p w14:paraId="0000002A" w14:textId="77777777" w:rsidR="00536574" w:rsidRDefault="00657EF2">
      <w:pPr>
        <w:spacing w:before="280"/>
        <w:ind w:left="720"/>
        <w:rPr>
          <w:rFonts w:ascii="Calibri" w:eastAsia="Calibri" w:hAnsi="Calibri" w:cs="Calibri"/>
          <w:b/>
          <w:bCs/>
          <w:color w:val="31849B"/>
        </w:rPr>
      </w:pPr>
      <w:r>
        <w:rPr>
          <w:rFonts w:ascii="Calibri" w:eastAsia="Calibri" w:hAnsi="Calibri" w:cs="Calibri"/>
          <w:b/>
          <w:bCs/>
          <w:color w:val="31849B"/>
        </w:rPr>
        <w:t>4.2 Filtros y Depuración Inicial</w:t>
      </w:r>
    </w:p>
    <w:p w14:paraId="0000002B" w14:textId="77777777" w:rsidR="00536574" w:rsidRDefault="00657EF2">
      <w:pPr>
        <w:spacing w:before="240" w:after="240"/>
        <w:ind w:left="720"/>
        <w:rPr>
          <w:rFonts w:ascii="Calibri" w:eastAsia="Calibri" w:hAnsi="Calibri" w:cs="Calibri"/>
        </w:rPr>
      </w:pPr>
      <w:r>
        <w:rPr>
          <w:rFonts w:ascii="Calibri" w:eastAsia="Calibri" w:hAnsi="Calibri" w:cs="Calibri"/>
        </w:rPr>
        <w:t>Una vez exportada la información a hoja de cálculo:</w:t>
      </w:r>
    </w:p>
    <w:p w14:paraId="0000002C" w14:textId="77777777" w:rsidR="00536574" w:rsidRDefault="00657EF2">
      <w:pPr>
        <w:numPr>
          <w:ilvl w:val="0"/>
          <w:numId w:val="9"/>
        </w:numPr>
        <w:spacing w:before="240"/>
        <w:ind w:left="1440"/>
      </w:pPr>
      <w:r>
        <w:rPr>
          <w:rFonts w:ascii="Calibri" w:eastAsia="Calibri" w:hAnsi="Calibri" w:cs="Calibri"/>
        </w:rPr>
        <w:lastRenderedPageBreak/>
        <w:t>Filtrar Motivo para conservar únicamente boletas de Fiel Cumplimiento.</w:t>
      </w:r>
      <w:r>
        <w:rPr>
          <w:rFonts w:ascii="Calibri" w:eastAsia="Calibri" w:hAnsi="Calibri" w:cs="Calibri"/>
        </w:rPr>
        <w:br/>
      </w:r>
    </w:p>
    <w:p w14:paraId="0000002D" w14:textId="77777777" w:rsidR="00536574" w:rsidRDefault="00657EF2">
      <w:pPr>
        <w:numPr>
          <w:ilvl w:val="0"/>
          <w:numId w:val="9"/>
        </w:numPr>
        <w:ind w:left="1440"/>
      </w:pPr>
      <w:r>
        <w:rPr>
          <w:rFonts w:ascii="Calibri" w:eastAsia="Calibri" w:hAnsi="Calibri" w:cs="Calibri"/>
        </w:rPr>
        <w:t>Excluir boletas con estado Retirada.</w:t>
      </w:r>
      <w:r>
        <w:rPr>
          <w:rFonts w:ascii="Calibri" w:eastAsia="Calibri" w:hAnsi="Calibri" w:cs="Calibri"/>
        </w:rPr>
        <w:br/>
      </w:r>
    </w:p>
    <w:p w14:paraId="0000002E" w14:textId="77777777" w:rsidR="00536574" w:rsidRDefault="00657EF2">
      <w:pPr>
        <w:numPr>
          <w:ilvl w:val="0"/>
          <w:numId w:val="9"/>
        </w:numPr>
        <w:ind w:left="1440"/>
        <w:rPr>
          <w:rFonts w:ascii="Calibri" w:eastAsia="Calibri" w:hAnsi="Calibri" w:cs="Calibri"/>
        </w:rPr>
      </w:pPr>
      <w:r>
        <w:rPr>
          <w:rFonts w:ascii="Calibri" w:eastAsia="Calibri" w:hAnsi="Calibri" w:cs="Calibri"/>
        </w:rPr>
        <w:t>Eliminar boletas antiguas que no correspondan al periodo de análisis vigente.</w:t>
      </w:r>
      <w:r>
        <w:rPr>
          <w:rFonts w:ascii="Calibri" w:eastAsia="Calibri" w:hAnsi="Calibri" w:cs="Calibri"/>
        </w:rPr>
        <w:br/>
      </w:r>
    </w:p>
    <w:p w14:paraId="0000002F" w14:textId="77777777" w:rsidR="00536574" w:rsidRDefault="00657EF2">
      <w:pPr>
        <w:numPr>
          <w:ilvl w:val="0"/>
          <w:numId w:val="9"/>
        </w:numPr>
        <w:spacing w:after="240"/>
        <w:ind w:left="1440"/>
      </w:pPr>
      <w:r>
        <w:rPr>
          <w:rFonts w:ascii="Calibri" w:eastAsia="Calibri" w:hAnsi="Calibri" w:cs="Calibri"/>
        </w:rPr>
        <w:t>Verificar y normalizar el campo Contrato (formato numérico).</w:t>
      </w:r>
    </w:p>
    <w:p w14:paraId="00000030" w14:textId="77777777" w:rsidR="00536574" w:rsidRDefault="00657EF2">
      <w:pPr>
        <w:spacing w:before="240" w:after="240"/>
        <w:ind w:left="720"/>
        <w:rPr>
          <w:rFonts w:ascii="Calibri" w:eastAsia="Calibri" w:hAnsi="Calibri" w:cs="Calibri"/>
        </w:rPr>
      </w:pPr>
      <w:r>
        <w:rPr>
          <w:rFonts w:ascii="Calibri" w:eastAsia="Calibri" w:hAnsi="Calibri" w:cs="Calibri"/>
        </w:rPr>
        <w:t>Posteriormente, ordenar las boletas por fecha de vencimiento, desde la más reciente a la más antigua, con el fin de asegurar que el cruce de información considere siempre la boleta vigente más actual.</w:t>
      </w:r>
    </w:p>
    <w:p w14:paraId="00000031" w14:textId="77777777" w:rsidR="00536574" w:rsidRDefault="00657EF2">
      <w:pPr>
        <w:spacing w:after="80"/>
        <w:rPr>
          <w:rFonts w:ascii="Calibri" w:eastAsia="Calibri" w:hAnsi="Calibri" w:cs="Calibri"/>
          <w:b/>
          <w:bCs/>
          <w:color w:val="31849B"/>
        </w:rPr>
      </w:pPr>
      <w:r>
        <w:rPr>
          <w:rFonts w:ascii="Calibri" w:eastAsia="Calibri" w:hAnsi="Calibri" w:cs="Calibri"/>
          <w:b/>
          <w:bCs/>
          <w:color w:val="31849B"/>
        </w:rPr>
        <w:t>5. Cruce de Información Contractual y Boletas</w:t>
      </w:r>
    </w:p>
    <w:p w14:paraId="00000032" w14:textId="77777777" w:rsidR="00536574" w:rsidRDefault="00657EF2">
      <w:pPr>
        <w:spacing w:before="240" w:after="240"/>
        <w:rPr>
          <w:rFonts w:ascii="Calibri" w:eastAsia="Calibri" w:hAnsi="Calibri" w:cs="Calibri"/>
        </w:rPr>
      </w:pPr>
      <w:r>
        <w:rPr>
          <w:rFonts w:ascii="Calibri" w:eastAsia="Calibri" w:hAnsi="Calibri" w:cs="Calibri"/>
        </w:rPr>
        <w:t xml:space="preserve">El cruce entre la </w:t>
      </w:r>
      <w:proofErr w:type="spellStart"/>
      <w:r>
        <w:rPr>
          <w:rFonts w:ascii="Calibri" w:eastAsia="Calibri" w:hAnsi="Calibri" w:cs="Calibri"/>
        </w:rPr>
        <w:t>BD_Inv</w:t>
      </w:r>
      <w:proofErr w:type="spellEnd"/>
      <w:r>
        <w:rPr>
          <w:rFonts w:ascii="Calibri" w:eastAsia="Calibri" w:hAnsi="Calibri" w:cs="Calibri"/>
        </w:rPr>
        <w:t xml:space="preserve"> Contratos y la </w:t>
      </w:r>
      <w:proofErr w:type="spellStart"/>
      <w:r>
        <w:rPr>
          <w:rFonts w:ascii="Calibri" w:eastAsia="Calibri" w:hAnsi="Calibri" w:cs="Calibri"/>
        </w:rPr>
        <w:t>BD_Boletas</w:t>
      </w:r>
      <w:proofErr w:type="spellEnd"/>
      <w:r>
        <w:rPr>
          <w:rFonts w:ascii="Calibri" w:eastAsia="Calibri" w:hAnsi="Calibri" w:cs="Calibri"/>
        </w:rPr>
        <w:t xml:space="preserve"> se realiza principalmente a través del Número de Contrato.</w:t>
      </w:r>
    </w:p>
    <w:p w14:paraId="00000033" w14:textId="77777777" w:rsidR="00536574" w:rsidRDefault="00657EF2">
      <w:pPr>
        <w:spacing w:before="280"/>
        <w:ind w:left="720"/>
        <w:rPr>
          <w:rFonts w:ascii="Calibri" w:eastAsia="Calibri" w:hAnsi="Calibri" w:cs="Calibri"/>
          <w:b/>
          <w:bCs/>
          <w:color w:val="31849B"/>
        </w:rPr>
      </w:pPr>
      <w:r>
        <w:rPr>
          <w:rFonts w:ascii="Calibri" w:eastAsia="Calibri" w:hAnsi="Calibri" w:cs="Calibri"/>
          <w:b/>
          <w:bCs/>
          <w:color w:val="31849B"/>
        </w:rPr>
        <w:t>5.1 Normalización de Montos</w:t>
      </w:r>
    </w:p>
    <w:p w14:paraId="00000034" w14:textId="77777777" w:rsidR="00536574" w:rsidRDefault="00657EF2">
      <w:pPr>
        <w:numPr>
          <w:ilvl w:val="0"/>
          <w:numId w:val="6"/>
        </w:numPr>
        <w:spacing w:before="240" w:line="240" w:lineRule="auto"/>
        <w:ind w:left="1440"/>
      </w:pPr>
      <w:r>
        <w:rPr>
          <w:rFonts w:ascii="Calibri" w:eastAsia="Calibri" w:hAnsi="Calibri" w:cs="Calibri"/>
        </w:rPr>
        <w:t>El monto contractual total debe expresarse en USD, considerando todas las modificaciones contractuales vigentes.</w:t>
      </w:r>
      <w:r>
        <w:rPr>
          <w:rFonts w:ascii="Calibri" w:eastAsia="Calibri" w:hAnsi="Calibri" w:cs="Calibri"/>
        </w:rPr>
        <w:br/>
      </w:r>
    </w:p>
    <w:p w14:paraId="00000035" w14:textId="77777777" w:rsidR="00536574" w:rsidRDefault="00657EF2">
      <w:pPr>
        <w:numPr>
          <w:ilvl w:val="0"/>
          <w:numId w:val="6"/>
        </w:numPr>
        <w:spacing w:after="240" w:line="240" w:lineRule="auto"/>
        <w:ind w:left="1440"/>
        <w:rPr>
          <w:rFonts w:ascii="Calibri" w:eastAsia="Calibri" w:hAnsi="Calibri" w:cs="Calibri"/>
        </w:rPr>
      </w:pPr>
      <w:r>
        <w:rPr>
          <w:rFonts w:ascii="Calibri" w:eastAsia="Calibri" w:hAnsi="Calibri" w:cs="Calibri"/>
        </w:rPr>
        <w:t>Esta normalización es obligatoria para validar correctamente la aplicabilidad de la boleta.</w:t>
      </w:r>
    </w:p>
    <w:p w14:paraId="00000036" w14:textId="77777777" w:rsidR="00536574" w:rsidRDefault="00657EF2">
      <w:pPr>
        <w:spacing w:before="280"/>
        <w:ind w:left="720"/>
        <w:rPr>
          <w:rFonts w:ascii="Calibri" w:eastAsia="Calibri" w:hAnsi="Calibri" w:cs="Calibri"/>
          <w:b/>
          <w:bCs/>
          <w:color w:val="31849B"/>
        </w:rPr>
      </w:pPr>
      <w:r>
        <w:rPr>
          <w:rFonts w:ascii="Calibri" w:eastAsia="Calibri" w:hAnsi="Calibri" w:cs="Calibri"/>
          <w:b/>
          <w:bCs/>
          <w:color w:val="31849B"/>
        </w:rPr>
        <w:t>5.2 Determinación de Aplicabilidad de Boleta</w:t>
      </w:r>
    </w:p>
    <w:p w14:paraId="00000037" w14:textId="77777777" w:rsidR="00536574" w:rsidRDefault="00657EF2">
      <w:pPr>
        <w:spacing w:before="240" w:after="240"/>
        <w:ind w:left="720"/>
        <w:rPr>
          <w:rFonts w:ascii="Calibri" w:eastAsia="Calibri" w:hAnsi="Calibri" w:cs="Calibri"/>
        </w:rPr>
      </w:pPr>
      <w:r>
        <w:rPr>
          <w:rFonts w:ascii="Calibri" w:eastAsia="Calibri" w:hAnsi="Calibri" w:cs="Calibri"/>
        </w:rPr>
        <w:t>Como regla general, el sistema identifica la aplicación de boleta cuando el monto contractual supera el umbral definido (por ejemplo, USD 1.000.000).</w:t>
      </w:r>
    </w:p>
    <w:p w14:paraId="00000038" w14:textId="77777777" w:rsidR="00536574" w:rsidRDefault="00657EF2">
      <w:pPr>
        <w:spacing w:before="240" w:after="240"/>
        <w:ind w:left="720"/>
        <w:rPr>
          <w:rFonts w:ascii="Calibri" w:eastAsia="Calibri" w:hAnsi="Calibri" w:cs="Calibri"/>
        </w:rPr>
      </w:pPr>
      <w:r>
        <w:rPr>
          <w:rFonts w:ascii="Calibri" w:eastAsia="Calibri" w:hAnsi="Calibri" w:cs="Calibri"/>
        </w:rPr>
        <w:t>Adicionalmente, se deben revisar los Casos Especiales (</w:t>
      </w:r>
      <w:proofErr w:type="spellStart"/>
      <w:r>
        <w:rPr>
          <w:rFonts w:ascii="Calibri" w:eastAsia="Calibri" w:hAnsi="Calibri" w:cs="Calibri"/>
        </w:rPr>
        <w:t>AplicaBG</w:t>
      </w:r>
      <w:proofErr w:type="spellEnd"/>
      <w:r>
        <w:rPr>
          <w:rFonts w:ascii="Calibri" w:eastAsia="Calibri" w:hAnsi="Calibri" w:cs="Calibri"/>
        </w:rPr>
        <w:t>), considerando que:</w:t>
      </w:r>
    </w:p>
    <w:p w14:paraId="00000039" w14:textId="77777777" w:rsidR="00536574" w:rsidRDefault="00657EF2">
      <w:pPr>
        <w:numPr>
          <w:ilvl w:val="0"/>
          <w:numId w:val="7"/>
        </w:numPr>
        <w:spacing w:before="240" w:line="240" w:lineRule="auto"/>
        <w:ind w:left="1440"/>
        <w:rPr>
          <w:rFonts w:ascii="Calibri" w:eastAsia="Calibri" w:hAnsi="Calibri" w:cs="Calibri"/>
        </w:rPr>
      </w:pPr>
      <w:r>
        <w:rPr>
          <w:rFonts w:ascii="Calibri" w:eastAsia="Calibri" w:hAnsi="Calibri" w:cs="Calibri"/>
        </w:rPr>
        <w:t>Existen contratos que, por modificaciones contractuales, sí requieren boleta aun cuando el monto base no supere el umbral.</w:t>
      </w:r>
      <w:r>
        <w:rPr>
          <w:rFonts w:ascii="Calibri" w:eastAsia="Calibri" w:hAnsi="Calibri" w:cs="Calibri"/>
        </w:rPr>
        <w:br/>
      </w:r>
    </w:p>
    <w:p w14:paraId="0000003A" w14:textId="77777777" w:rsidR="00536574" w:rsidRDefault="00657EF2">
      <w:pPr>
        <w:numPr>
          <w:ilvl w:val="0"/>
          <w:numId w:val="7"/>
        </w:numPr>
        <w:spacing w:after="240" w:line="240" w:lineRule="auto"/>
        <w:ind w:left="1440"/>
        <w:rPr>
          <w:rFonts w:ascii="Calibri" w:eastAsia="Calibri" w:hAnsi="Calibri" w:cs="Calibri"/>
        </w:rPr>
      </w:pPr>
      <w:r>
        <w:rPr>
          <w:rFonts w:ascii="Calibri" w:eastAsia="Calibri" w:hAnsi="Calibri" w:cs="Calibri"/>
        </w:rPr>
        <w:t>Existen convenios u otros casos particulares donde, pese al monto, no aplica boleta.</w:t>
      </w:r>
    </w:p>
    <w:p w14:paraId="0000003B" w14:textId="77777777" w:rsidR="00536574" w:rsidRDefault="00657EF2">
      <w:pPr>
        <w:spacing w:before="240" w:after="240"/>
        <w:ind w:left="720"/>
        <w:rPr>
          <w:rFonts w:ascii="Calibri" w:eastAsia="Calibri" w:hAnsi="Calibri" w:cs="Calibri"/>
        </w:rPr>
      </w:pPr>
      <w:r>
        <w:rPr>
          <w:rFonts w:ascii="Calibri" w:eastAsia="Calibri" w:hAnsi="Calibri" w:cs="Calibri"/>
        </w:rPr>
        <w:t>Esta validación puede requerir revisión manual de anexos contractuales en SAP.</w:t>
      </w:r>
    </w:p>
    <w:p w14:paraId="0000003C" w14:textId="77777777" w:rsidR="00536574" w:rsidRDefault="00657EF2">
      <w:pPr>
        <w:spacing w:after="80"/>
        <w:rPr>
          <w:rFonts w:ascii="Calibri" w:eastAsia="Calibri" w:hAnsi="Calibri" w:cs="Calibri"/>
          <w:b/>
          <w:bCs/>
          <w:color w:val="31849B"/>
        </w:rPr>
      </w:pPr>
      <w:r>
        <w:rPr>
          <w:rFonts w:ascii="Calibri" w:eastAsia="Calibri" w:hAnsi="Calibri" w:cs="Calibri"/>
          <w:b/>
          <w:bCs/>
          <w:color w:val="31849B"/>
        </w:rPr>
        <w:t>6. Revisión de Vigencia de la Boleta</w:t>
      </w:r>
    </w:p>
    <w:p w14:paraId="645F7CFB" w14:textId="77777777" w:rsidR="00683AB2" w:rsidRDefault="00683AB2" w:rsidP="00683AB2">
      <w:pPr>
        <w:spacing w:after="240"/>
        <w:rPr>
          <w:rFonts w:ascii="Calibri" w:eastAsia="Calibri" w:hAnsi="Calibri" w:cs="Calibri"/>
        </w:rPr>
      </w:pPr>
      <w:r w:rsidRPr="00683AB2">
        <w:rPr>
          <w:rFonts w:ascii="Calibri" w:eastAsia="Calibri" w:hAnsi="Calibri" w:cs="Calibri"/>
        </w:rPr>
        <w:t>Para los contratos en los que sí aplica boleta de garantía, BackOffice debe:</w:t>
      </w:r>
    </w:p>
    <w:p w14:paraId="500E08FC" w14:textId="19E0E936" w:rsidR="00683AB2" w:rsidRPr="00683AB2" w:rsidRDefault="00683AB2" w:rsidP="00683AB2">
      <w:pPr>
        <w:pStyle w:val="Prrafodelista"/>
        <w:numPr>
          <w:ilvl w:val="0"/>
          <w:numId w:val="13"/>
        </w:numPr>
        <w:spacing w:after="240"/>
        <w:rPr>
          <w:rFonts w:ascii="Calibri" w:eastAsia="Calibri" w:hAnsi="Calibri" w:cs="Calibri"/>
        </w:rPr>
      </w:pPr>
      <w:r w:rsidRPr="00683AB2">
        <w:rPr>
          <w:rFonts w:ascii="Calibri" w:eastAsia="Calibri" w:hAnsi="Calibri" w:cs="Calibri"/>
        </w:rPr>
        <w:t xml:space="preserve">Verificar el campo ¿Boleta </w:t>
      </w:r>
      <w:proofErr w:type="gramStart"/>
      <w:r w:rsidRPr="00683AB2">
        <w:rPr>
          <w:rFonts w:ascii="Calibri" w:eastAsia="Calibri" w:hAnsi="Calibri" w:cs="Calibri"/>
        </w:rPr>
        <w:t>Vigente?.</w:t>
      </w:r>
      <w:proofErr w:type="gramEnd"/>
    </w:p>
    <w:p w14:paraId="2E5CFCC7" w14:textId="77777777" w:rsidR="00683AB2" w:rsidRPr="00683AB2" w:rsidRDefault="00683AB2" w:rsidP="00683AB2">
      <w:pPr>
        <w:pStyle w:val="Prrafodelista"/>
        <w:numPr>
          <w:ilvl w:val="0"/>
          <w:numId w:val="13"/>
        </w:numPr>
        <w:spacing w:after="240"/>
        <w:rPr>
          <w:rFonts w:ascii="Calibri" w:eastAsia="Calibri" w:hAnsi="Calibri" w:cs="Calibri"/>
        </w:rPr>
      </w:pPr>
      <w:r w:rsidRPr="00683AB2">
        <w:rPr>
          <w:rFonts w:ascii="Calibri" w:eastAsia="Calibri" w:hAnsi="Calibri" w:cs="Calibri"/>
        </w:rPr>
        <w:t>Identificar boletas próximas a vencer (por ejemplo, con vencimiento dentro de los próximos 90 días).</w:t>
      </w:r>
    </w:p>
    <w:p w14:paraId="5CDB280B" w14:textId="77777777" w:rsidR="00683AB2" w:rsidRPr="00683AB2" w:rsidRDefault="00683AB2" w:rsidP="00683AB2">
      <w:pPr>
        <w:pStyle w:val="Prrafodelista"/>
        <w:numPr>
          <w:ilvl w:val="0"/>
          <w:numId w:val="13"/>
        </w:numPr>
        <w:spacing w:after="240"/>
        <w:rPr>
          <w:rFonts w:ascii="Calibri" w:eastAsia="Calibri" w:hAnsi="Calibri" w:cs="Calibri"/>
        </w:rPr>
      </w:pPr>
      <w:r w:rsidRPr="00683AB2">
        <w:rPr>
          <w:rFonts w:ascii="Calibri" w:eastAsia="Calibri" w:hAnsi="Calibri" w:cs="Calibri"/>
        </w:rPr>
        <w:t>Revisar casos sin registro automático de boleta, realizando búsqueda manual en SAP.</w:t>
      </w:r>
    </w:p>
    <w:p w14:paraId="5E9C1DB6" w14:textId="77777777" w:rsidR="00683AB2" w:rsidRPr="00683AB2" w:rsidRDefault="00683AB2" w:rsidP="00683AB2">
      <w:pPr>
        <w:spacing w:after="240"/>
        <w:ind w:left="360"/>
        <w:rPr>
          <w:rFonts w:ascii="Calibri" w:eastAsia="Calibri" w:hAnsi="Calibri" w:cs="Calibri"/>
        </w:rPr>
      </w:pPr>
    </w:p>
    <w:p w14:paraId="1F1A79F9" w14:textId="63CD2A8B" w:rsidR="00683AB2" w:rsidRPr="00441389" w:rsidRDefault="00683AB2" w:rsidP="00441389">
      <w:pPr>
        <w:spacing w:after="240"/>
        <w:ind w:left="360"/>
        <w:rPr>
          <w:rFonts w:ascii="Calibri" w:eastAsia="Calibri" w:hAnsi="Calibri" w:cs="Calibri"/>
          <w:color w:val="31849B" w:themeColor="accent5" w:themeShade="BF"/>
        </w:rPr>
      </w:pPr>
      <w:r w:rsidRPr="00441389">
        <w:rPr>
          <w:rFonts w:ascii="Calibri" w:eastAsia="Calibri" w:hAnsi="Calibri" w:cs="Calibri"/>
          <w:color w:val="31849B" w:themeColor="accent5" w:themeShade="BF"/>
        </w:rPr>
        <w:lastRenderedPageBreak/>
        <w:t>Casos sin cruce automático</w:t>
      </w:r>
    </w:p>
    <w:p w14:paraId="2A137628" w14:textId="5FD815AA" w:rsidR="00683AB2" w:rsidRPr="00683AB2" w:rsidRDefault="00683AB2" w:rsidP="00441389">
      <w:pPr>
        <w:spacing w:after="240"/>
        <w:ind w:left="360"/>
        <w:rPr>
          <w:rFonts w:ascii="Calibri" w:eastAsia="Calibri" w:hAnsi="Calibri" w:cs="Calibri"/>
        </w:rPr>
      </w:pPr>
      <w:r w:rsidRPr="00683AB2">
        <w:rPr>
          <w:rFonts w:ascii="Calibri" w:eastAsia="Calibri" w:hAnsi="Calibri" w:cs="Calibri"/>
        </w:rPr>
        <w:t>Cuando no se identifique boleta asociada por número de contrato:</w:t>
      </w:r>
    </w:p>
    <w:p w14:paraId="2D46D93F" w14:textId="059D2AEC" w:rsidR="00683AB2" w:rsidRPr="00683AB2" w:rsidRDefault="00683AB2" w:rsidP="00441389">
      <w:pPr>
        <w:spacing w:after="240"/>
        <w:ind w:left="360"/>
        <w:rPr>
          <w:rFonts w:ascii="Calibri" w:eastAsia="Calibri" w:hAnsi="Calibri" w:cs="Calibri"/>
        </w:rPr>
      </w:pPr>
      <w:r w:rsidRPr="00683AB2">
        <w:rPr>
          <w:rFonts w:ascii="Calibri" w:eastAsia="Calibri" w:hAnsi="Calibri" w:cs="Calibri"/>
        </w:rPr>
        <w:t>● Revisar manualmente en SAP si la boleta fue cargada sin el número de contrato.</w:t>
      </w:r>
    </w:p>
    <w:p w14:paraId="02245EFB" w14:textId="151B6A20" w:rsidR="00683AB2" w:rsidRPr="00683AB2" w:rsidRDefault="00683AB2" w:rsidP="00441389">
      <w:pPr>
        <w:spacing w:after="240"/>
        <w:ind w:left="360"/>
        <w:rPr>
          <w:rFonts w:ascii="Calibri" w:eastAsia="Calibri" w:hAnsi="Calibri" w:cs="Calibri"/>
        </w:rPr>
      </w:pPr>
      <w:r w:rsidRPr="00683AB2">
        <w:rPr>
          <w:rFonts w:ascii="Calibri" w:eastAsia="Calibri" w:hAnsi="Calibri" w:cs="Calibri"/>
        </w:rPr>
        <w:t>● Considerar contratos corporativos u otros casos especiales previamente identificados.</w:t>
      </w:r>
    </w:p>
    <w:p w14:paraId="1DB42968" w14:textId="40FC0877" w:rsidR="00683AB2" w:rsidRPr="00683AB2" w:rsidRDefault="00683AB2" w:rsidP="00441389">
      <w:pPr>
        <w:spacing w:after="240"/>
        <w:ind w:left="360"/>
        <w:rPr>
          <w:rFonts w:ascii="Calibri" w:eastAsia="Calibri" w:hAnsi="Calibri" w:cs="Calibri"/>
        </w:rPr>
      </w:pPr>
      <w:r w:rsidRPr="00683AB2">
        <w:rPr>
          <w:rFonts w:ascii="Calibri" w:eastAsia="Calibri" w:hAnsi="Calibri" w:cs="Calibri"/>
        </w:rPr>
        <w:t>Adicionalmente, en la columna T – ¿Boleta Vigente? pueden existir registros sin información. Estos casos deben revisarse uno a uno, dado que la ausencia de cruce no necesariamente implica inexistencia de boleta en el sistema.</w:t>
      </w:r>
    </w:p>
    <w:p w14:paraId="17D1B344" w14:textId="575BFED3" w:rsidR="00683AB2" w:rsidRPr="00683AB2" w:rsidRDefault="00683AB2" w:rsidP="00441389">
      <w:pPr>
        <w:spacing w:after="240"/>
        <w:ind w:left="360"/>
        <w:rPr>
          <w:rFonts w:ascii="Calibri" w:eastAsia="Calibri" w:hAnsi="Calibri" w:cs="Calibri"/>
        </w:rPr>
      </w:pPr>
      <w:r w:rsidRPr="00683AB2">
        <w:rPr>
          <w:rFonts w:ascii="Calibri" w:eastAsia="Calibri" w:hAnsi="Calibri" w:cs="Calibri"/>
        </w:rPr>
        <w:t>En estos casos, se debe:</w:t>
      </w:r>
    </w:p>
    <w:p w14:paraId="6AE94B4B" w14:textId="30016BE8" w:rsidR="00683AB2" w:rsidRPr="00441389" w:rsidRDefault="00683AB2" w:rsidP="00441389">
      <w:pPr>
        <w:pStyle w:val="Prrafodelista"/>
        <w:numPr>
          <w:ilvl w:val="0"/>
          <w:numId w:val="14"/>
        </w:numPr>
        <w:spacing w:after="240"/>
        <w:rPr>
          <w:rFonts w:ascii="Calibri" w:eastAsia="Calibri" w:hAnsi="Calibri" w:cs="Calibri"/>
        </w:rPr>
      </w:pPr>
      <w:r w:rsidRPr="00441389">
        <w:rPr>
          <w:rFonts w:ascii="Calibri" w:eastAsia="Calibri" w:hAnsi="Calibri" w:cs="Calibri"/>
        </w:rPr>
        <w:t>Verificar en SAP, mediante la transacción ZFI-151 – Gestión de Garantías, si la boleta efectivamente se encuentra registrada en el sistema.</w:t>
      </w:r>
    </w:p>
    <w:p w14:paraId="2C463364" w14:textId="40E87F80" w:rsidR="00683AB2" w:rsidRPr="00441389" w:rsidRDefault="00683AB2" w:rsidP="00441389">
      <w:pPr>
        <w:pStyle w:val="Prrafodelista"/>
        <w:numPr>
          <w:ilvl w:val="0"/>
          <w:numId w:val="14"/>
        </w:numPr>
        <w:spacing w:after="240"/>
        <w:rPr>
          <w:rFonts w:ascii="Calibri" w:eastAsia="Calibri" w:hAnsi="Calibri" w:cs="Calibri"/>
        </w:rPr>
      </w:pPr>
      <w:r w:rsidRPr="00441389">
        <w:rPr>
          <w:rFonts w:ascii="Calibri" w:eastAsia="Calibri" w:hAnsi="Calibri" w:cs="Calibri"/>
        </w:rPr>
        <w:t>Considerar que, dado que el cruce se realiza por número de contrato, puede ocurrir que la boleta haya sido cargada sin dicho número, impidiendo su asociación automática. En tal situación, la boleta puede estar registrada en el sistema sin ser detectada por el cruce inicial, por lo que debe buscarse manualmente caso a caso.</w:t>
      </w:r>
    </w:p>
    <w:p w14:paraId="37BC432F" w14:textId="6BE4A414" w:rsidR="00683AB2" w:rsidRPr="00683AB2" w:rsidRDefault="00683AB2" w:rsidP="00441389">
      <w:pPr>
        <w:spacing w:after="240"/>
        <w:ind w:left="360"/>
        <w:rPr>
          <w:rFonts w:ascii="Calibri" w:eastAsia="Calibri" w:hAnsi="Calibri" w:cs="Calibri"/>
        </w:rPr>
      </w:pPr>
      <w:r w:rsidRPr="00683AB2">
        <w:rPr>
          <w:rFonts w:ascii="Calibri" w:eastAsia="Calibri" w:hAnsi="Calibri" w:cs="Calibri"/>
        </w:rPr>
        <w:t>Posteriormente, se deberá acceder a la transacción correspondiente para visualizar los documentos contractuales asociados al número de contrato (por ejemplo, opción “Visualizar pedido”), con el fin de validar si contractualmente corresponde la exigencia de boleta de garantía.</w:t>
      </w:r>
    </w:p>
    <w:p w14:paraId="228C318D" w14:textId="77DB6E46" w:rsidR="00683AB2" w:rsidRPr="00683AB2" w:rsidRDefault="00683AB2" w:rsidP="00441389">
      <w:pPr>
        <w:spacing w:after="240"/>
        <w:ind w:left="360"/>
        <w:rPr>
          <w:rFonts w:ascii="Calibri" w:eastAsia="Calibri" w:hAnsi="Calibri" w:cs="Calibri"/>
        </w:rPr>
      </w:pPr>
      <w:r w:rsidRPr="00683AB2">
        <w:rPr>
          <w:rFonts w:ascii="Calibri" w:eastAsia="Calibri" w:hAnsi="Calibri" w:cs="Calibri"/>
        </w:rPr>
        <w:t>En la revisión documental, se debe consultar el listado de anexos y modificaciones vigentes. Se debe considerar que, en contratos tipo OST, la documentación contractual completa no siempre se encuentra cargada en SAP, por lo que la revisión puede requerir validación adicional.</w:t>
      </w:r>
    </w:p>
    <w:p w14:paraId="12B6398B" w14:textId="77777777" w:rsidR="003D0F6B" w:rsidRDefault="00683AB2" w:rsidP="00683AB2">
      <w:pPr>
        <w:spacing w:after="240"/>
        <w:ind w:left="360"/>
        <w:rPr>
          <w:rFonts w:ascii="Calibri" w:eastAsia="Calibri" w:hAnsi="Calibri" w:cs="Calibri"/>
        </w:rPr>
      </w:pPr>
      <w:r w:rsidRPr="00683AB2">
        <w:rPr>
          <w:rFonts w:ascii="Calibri" w:eastAsia="Calibri" w:hAnsi="Calibri" w:cs="Calibri"/>
        </w:rPr>
        <w:t>En los casos ambiguos o cuando persistan dudas respecto de la exigibilidad de la boleta, se deberá consultar al Ingeniero o Administrador del Contrato correspondiente para confirmar la situación contractual.</w:t>
      </w:r>
    </w:p>
    <w:p w14:paraId="00000044" w14:textId="3208B28B" w:rsidR="00536574" w:rsidRDefault="000D5157" w:rsidP="00683AB2">
      <w:pPr>
        <w:spacing w:after="240"/>
        <w:ind w:left="360"/>
        <w:rPr>
          <w:rFonts w:ascii="Calibri" w:eastAsia="Calibri" w:hAnsi="Calibri" w:cs="Calibri"/>
        </w:rPr>
      </w:pPr>
      <w:r>
        <w:rPr>
          <w:noProof/>
          <w:color w:val="000000"/>
          <w:bdr w:val="none" w:sz="0" w:space="0" w:color="auto" w:frame="1"/>
        </w:rPr>
        <w:drawing>
          <wp:inline distT="0" distB="0" distL="0" distR="0" wp14:anchorId="4E769C37" wp14:editId="36EFA07D">
            <wp:extent cx="5733415" cy="1360805"/>
            <wp:effectExtent l="0" t="0" r="635" b="0"/>
            <wp:docPr id="7008120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1200" name="Imagen 1" descr="Interfaz de usuario gráfica, Texto, Aplicación, Correo electrónico&#10;&#10;El contenido generado por IA puede ser incorrecto."/>
                    <pic:cNvPicPr>
                      <a:picLocks noChangeAspect="1" noChangeArrowheads="1"/>
                    </pic:cNvPicPr>
                  </pic:nvPicPr>
                  <pic:blipFill rotWithShape="1">
                    <a:blip r:embed="rId7">
                      <a:extLst>
                        <a:ext uri="{28A0092B-C50C-407E-A947-70E740481C1C}">
                          <a14:useLocalDpi xmlns:a14="http://schemas.microsoft.com/office/drawing/2010/main" val="0"/>
                        </a:ext>
                      </a:extLst>
                    </a:blip>
                    <a:srcRect t="62879"/>
                    <a:stretch>
                      <a:fillRect/>
                    </a:stretch>
                  </pic:blipFill>
                  <pic:spPr bwMode="auto">
                    <a:xfrm>
                      <a:off x="0" y="0"/>
                      <a:ext cx="5733415" cy="1360805"/>
                    </a:xfrm>
                    <a:prstGeom prst="rect">
                      <a:avLst/>
                    </a:prstGeom>
                    <a:noFill/>
                    <a:ln>
                      <a:noFill/>
                    </a:ln>
                    <a:extLst>
                      <a:ext uri="{53640926-AAD7-44D8-BBD7-CCE9431645EC}">
                        <a14:shadowObscured xmlns:a14="http://schemas.microsoft.com/office/drawing/2010/main"/>
                      </a:ext>
                    </a:extLst>
                  </pic:spPr>
                </pic:pic>
              </a:graphicData>
            </a:graphic>
          </wp:inline>
        </w:drawing>
      </w:r>
      <w:r w:rsidR="00657EF2">
        <w:rPr>
          <w:rFonts w:ascii="Calibri" w:eastAsia="Calibri" w:hAnsi="Calibri" w:cs="Calibri"/>
        </w:rPr>
        <w:br/>
      </w:r>
    </w:p>
    <w:p w14:paraId="1D388AB7" w14:textId="77777777" w:rsidR="008C438A" w:rsidRDefault="008C438A" w:rsidP="00683AB2">
      <w:pPr>
        <w:spacing w:after="240"/>
        <w:ind w:left="360"/>
        <w:rPr>
          <w:rFonts w:ascii="Calibri" w:eastAsia="Calibri" w:hAnsi="Calibri" w:cs="Calibri"/>
        </w:rPr>
      </w:pPr>
    </w:p>
    <w:p w14:paraId="178A6D4B" w14:textId="77777777" w:rsidR="008C438A" w:rsidRDefault="008C438A" w:rsidP="00683AB2">
      <w:pPr>
        <w:spacing w:after="240"/>
        <w:ind w:left="360"/>
        <w:rPr>
          <w:rFonts w:ascii="Calibri" w:eastAsia="Calibri" w:hAnsi="Calibri" w:cs="Calibri"/>
        </w:rPr>
      </w:pPr>
    </w:p>
    <w:p w14:paraId="028385CC" w14:textId="77777777" w:rsidR="008C438A" w:rsidRDefault="008C438A" w:rsidP="00683AB2">
      <w:pPr>
        <w:spacing w:after="240"/>
        <w:ind w:left="360"/>
        <w:rPr>
          <w:rFonts w:ascii="Calibri" w:eastAsia="Calibri" w:hAnsi="Calibri" w:cs="Calibri"/>
        </w:rPr>
      </w:pPr>
    </w:p>
    <w:p w14:paraId="00000045" w14:textId="77777777" w:rsidR="00536574" w:rsidRDefault="00657EF2">
      <w:pPr>
        <w:spacing w:after="80"/>
        <w:rPr>
          <w:rFonts w:ascii="Calibri" w:eastAsia="Calibri" w:hAnsi="Calibri" w:cs="Calibri"/>
          <w:b/>
          <w:bCs/>
          <w:color w:val="31849B"/>
        </w:rPr>
      </w:pPr>
      <w:r>
        <w:rPr>
          <w:rFonts w:ascii="Calibri" w:eastAsia="Calibri" w:hAnsi="Calibri" w:cs="Calibri"/>
          <w:b/>
          <w:bCs/>
          <w:color w:val="31849B"/>
        </w:rPr>
        <w:lastRenderedPageBreak/>
        <w:t>7. Revisión Documental Complementaria</w:t>
      </w:r>
    </w:p>
    <w:p w14:paraId="066AFDD5" w14:textId="77777777" w:rsidR="009C1CF6" w:rsidRPr="009C1CF6" w:rsidRDefault="009C1CF6" w:rsidP="009C1CF6">
      <w:pPr>
        <w:spacing w:after="80"/>
        <w:rPr>
          <w:rFonts w:ascii="Calibri" w:eastAsia="Calibri" w:hAnsi="Calibri" w:cs="Calibri"/>
          <w:lang w:val="es-CL"/>
        </w:rPr>
      </w:pPr>
      <w:r w:rsidRPr="009C1CF6">
        <w:rPr>
          <w:rFonts w:ascii="Calibri" w:eastAsia="Calibri" w:hAnsi="Calibri" w:cs="Calibri"/>
          <w:lang w:val="es-CL"/>
        </w:rPr>
        <w:t>La revisión documental complementaria procederá únicamente cuando, habiendo aplicado las validaciones descritas en el punto 6, persistan dudas respecto de la exigibilidad contractual de la boleta de garantía.</w:t>
      </w:r>
    </w:p>
    <w:p w14:paraId="519879FE" w14:textId="77777777" w:rsidR="009C1CF6" w:rsidRPr="009C1CF6" w:rsidRDefault="009C1CF6" w:rsidP="009C1CF6">
      <w:pPr>
        <w:spacing w:after="80"/>
        <w:rPr>
          <w:rFonts w:ascii="Calibri" w:eastAsia="Calibri" w:hAnsi="Calibri" w:cs="Calibri"/>
          <w:lang w:val="es-CL"/>
        </w:rPr>
      </w:pPr>
      <w:r w:rsidRPr="009C1CF6">
        <w:rPr>
          <w:rFonts w:ascii="Calibri" w:eastAsia="Calibri" w:hAnsi="Calibri" w:cs="Calibri"/>
          <w:lang w:val="es-CL"/>
        </w:rPr>
        <w:t>En tales casos, se deberá:</w:t>
      </w:r>
    </w:p>
    <w:p w14:paraId="618CE627" w14:textId="77777777" w:rsidR="009C1CF6" w:rsidRPr="009C1CF6" w:rsidRDefault="009C1CF6" w:rsidP="009C1CF6">
      <w:pPr>
        <w:numPr>
          <w:ilvl w:val="0"/>
          <w:numId w:val="16"/>
        </w:numPr>
        <w:spacing w:after="80"/>
        <w:rPr>
          <w:rFonts w:ascii="Calibri" w:eastAsia="Calibri" w:hAnsi="Calibri" w:cs="Calibri"/>
          <w:lang w:val="es-CL"/>
        </w:rPr>
      </w:pPr>
      <w:r w:rsidRPr="009C1CF6">
        <w:rPr>
          <w:rFonts w:ascii="Calibri" w:eastAsia="Calibri" w:hAnsi="Calibri" w:cs="Calibri"/>
          <w:lang w:val="es-CL"/>
        </w:rPr>
        <w:t>Revisar el contrato base y sus modificaciones vigentes.</w:t>
      </w:r>
    </w:p>
    <w:p w14:paraId="7566610C" w14:textId="77777777" w:rsidR="009C1CF6" w:rsidRPr="009C1CF6" w:rsidRDefault="009C1CF6" w:rsidP="009C1CF6">
      <w:pPr>
        <w:numPr>
          <w:ilvl w:val="0"/>
          <w:numId w:val="16"/>
        </w:numPr>
        <w:spacing w:after="80"/>
        <w:rPr>
          <w:rFonts w:ascii="Calibri" w:eastAsia="Calibri" w:hAnsi="Calibri" w:cs="Calibri"/>
          <w:lang w:val="es-CL"/>
        </w:rPr>
      </w:pPr>
      <w:r w:rsidRPr="009C1CF6">
        <w:rPr>
          <w:rFonts w:ascii="Calibri" w:eastAsia="Calibri" w:hAnsi="Calibri" w:cs="Calibri"/>
          <w:lang w:val="es-CL"/>
        </w:rPr>
        <w:t>Analizar los anexos contractuales aplicables.</w:t>
      </w:r>
    </w:p>
    <w:p w14:paraId="73A6055D" w14:textId="77777777" w:rsidR="009C1CF6" w:rsidRPr="009C1CF6" w:rsidRDefault="009C1CF6" w:rsidP="009C1CF6">
      <w:pPr>
        <w:numPr>
          <w:ilvl w:val="0"/>
          <w:numId w:val="16"/>
        </w:numPr>
        <w:spacing w:after="80"/>
        <w:rPr>
          <w:rFonts w:ascii="Calibri" w:eastAsia="Calibri" w:hAnsi="Calibri" w:cs="Calibri"/>
          <w:lang w:val="es-CL"/>
        </w:rPr>
      </w:pPr>
      <w:r w:rsidRPr="009C1CF6">
        <w:rPr>
          <w:rFonts w:ascii="Calibri" w:eastAsia="Calibri" w:hAnsi="Calibri" w:cs="Calibri"/>
          <w:lang w:val="es-CL"/>
        </w:rPr>
        <w:t>Confirmar si alguna modificación contractual estableció expresamente la exigencia de boleta, aun cuando el monto no supere el umbral general.</w:t>
      </w:r>
    </w:p>
    <w:p w14:paraId="0000004A" w14:textId="77777777" w:rsidR="00536574" w:rsidRDefault="00657EF2">
      <w:pPr>
        <w:spacing w:after="80"/>
        <w:rPr>
          <w:rFonts w:ascii="Calibri" w:eastAsia="Calibri" w:hAnsi="Calibri" w:cs="Calibri"/>
          <w:b/>
          <w:bCs/>
          <w:color w:val="31849B"/>
        </w:rPr>
      </w:pPr>
      <w:r>
        <w:rPr>
          <w:rFonts w:ascii="Calibri" w:eastAsia="Calibri" w:hAnsi="Calibri" w:cs="Calibri"/>
          <w:b/>
          <w:bCs/>
          <w:color w:val="31849B"/>
        </w:rPr>
        <w:t>8. Registro de Resultado y Trazabilidad</w:t>
      </w:r>
    </w:p>
    <w:p w14:paraId="0000004B" w14:textId="77777777" w:rsidR="00536574" w:rsidRDefault="00657EF2">
      <w:pPr>
        <w:spacing w:before="240" w:after="240"/>
        <w:rPr>
          <w:rFonts w:ascii="Calibri" w:eastAsia="Calibri" w:hAnsi="Calibri" w:cs="Calibri"/>
        </w:rPr>
      </w:pPr>
      <w:r>
        <w:rPr>
          <w:rFonts w:ascii="Calibri" w:eastAsia="Calibri" w:hAnsi="Calibri" w:cs="Calibri"/>
        </w:rPr>
        <w:t>Finalizada la revisión, BackOffice debe dejar respaldo de:</w:t>
      </w:r>
    </w:p>
    <w:p w14:paraId="0000004C" w14:textId="77777777" w:rsidR="00536574" w:rsidRDefault="00657EF2">
      <w:pPr>
        <w:numPr>
          <w:ilvl w:val="0"/>
          <w:numId w:val="12"/>
        </w:numPr>
        <w:spacing w:before="240" w:line="240" w:lineRule="auto"/>
        <w:rPr>
          <w:rFonts w:ascii="Calibri" w:eastAsia="Calibri" w:hAnsi="Calibri" w:cs="Calibri"/>
        </w:rPr>
      </w:pPr>
      <w:r>
        <w:rPr>
          <w:rFonts w:ascii="Calibri" w:eastAsia="Calibri" w:hAnsi="Calibri" w:cs="Calibri"/>
        </w:rPr>
        <w:t>Fecha de revisión de la boleta.</w:t>
      </w:r>
      <w:r>
        <w:rPr>
          <w:rFonts w:ascii="Calibri" w:eastAsia="Calibri" w:hAnsi="Calibri" w:cs="Calibri"/>
        </w:rPr>
        <w:br/>
      </w:r>
    </w:p>
    <w:p w14:paraId="0000004D" w14:textId="77777777" w:rsidR="00536574" w:rsidRDefault="00657EF2">
      <w:pPr>
        <w:numPr>
          <w:ilvl w:val="0"/>
          <w:numId w:val="12"/>
        </w:numPr>
        <w:spacing w:line="240" w:lineRule="auto"/>
        <w:rPr>
          <w:rFonts w:ascii="Calibri" w:eastAsia="Calibri" w:hAnsi="Calibri" w:cs="Calibri"/>
        </w:rPr>
      </w:pPr>
      <w:r>
        <w:rPr>
          <w:rFonts w:ascii="Calibri" w:eastAsia="Calibri" w:hAnsi="Calibri" w:cs="Calibri"/>
        </w:rPr>
        <w:t>Fuentes utilizadas (bases de datos y SAP).</w:t>
      </w:r>
      <w:r>
        <w:rPr>
          <w:rFonts w:ascii="Calibri" w:eastAsia="Calibri" w:hAnsi="Calibri" w:cs="Calibri"/>
        </w:rPr>
        <w:br/>
      </w:r>
    </w:p>
    <w:p w14:paraId="0000004E" w14:textId="77777777" w:rsidR="00536574" w:rsidRDefault="00657EF2">
      <w:pPr>
        <w:numPr>
          <w:ilvl w:val="0"/>
          <w:numId w:val="12"/>
        </w:numPr>
        <w:spacing w:line="240" w:lineRule="auto"/>
        <w:rPr>
          <w:rFonts w:ascii="Calibri" w:eastAsia="Calibri" w:hAnsi="Calibri" w:cs="Calibri"/>
        </w:rPr>
      </w:pPr>
      <w:r>
        <w:rPr>
          <w:rFonts w:ascii="Calibri" w:eastAsia="Calibri" w:hAnsi="Calibri" w:cs="Calibri"/>
        </w:rPr>
        <w:t>Vigencia y monto de la boleta.</w:t>
      </w:r>
      <w:r>
        <w:rPr>
          <w:rFonts w:ascii="Calibri" w:eastAsia="Calibri" w:hAnsi="Calibri" w:cs="Calibri"/>
        </w:rPr>
        <w:br/>
      </w:r>
    </w:p>
    <w:p w14:paraId="0000004F" w14:textId="77777777" w:rsidR="00536574" w:rsidRDefault="00657EF2">
      <w:pPr>
        <w:numPr>
          <w:ilvl w:val="0"/>
          <w:numId w:val="12"/>
        </w:numPr>
        <w:spacing w:line="240" w:lineRule="auto"/>
        <w:rPr>
          <w:rFonts w:ascii="Calibri" w:eastAsia="Calibri" w:hAnsi="Calibri" w:cs="Calibri"/>
        </w:rPr>
      </w:pPr>
      <w:r>
        <w:rPr>
          <w:rFonts w:ascii="Calibri" w:eastAsia="Calibri" w:hAnsi="Calibri" w:cs="Calibri"/>
        </w:rPr>
        <w:t>Consumo del contrato base.</w:t>
      </w:r>
      <w:r>
        <w:rPr>
          <w:rFonts w:ascii="Calibri" w:eastAsia="Calibri" w:hAnsi="Calibri" w:cs="Calibri"/>
        </w:rPr>
        <w:br/>
      </w:r>
    </w:p>
    <w:p w14:paraId="00000050" w14:textId="77777777" w:rsidR="00536574" w:rsidRDefault="00657EF2">
      <w:pPr>
        <w:numPr>
          <w:ilvl w:val="0"/>
          <w:numId w:val="12"/>
        </w:numPr>
        <w:spacing w:line="240" w:lineRule="auto"/>
        <w:rPr>
          <w:rFonts w:ascii="Calibri" w:eastAsia="Calibri" w:hAnsi="Calibri" w:cs="Calibri"/>
        </w:rPr>
      </w:pPr>
      <w:r>
        <w:rPr>
          <w:rFonts w:ascii="Calibri" w:eastAsia="Calibri" w:hAnsi="Calibri" w:cs="Calibri"/>
        </w:rPr>
        <w:t>Identificación de casos especiales, si aplica.</w:t>
      </w:r>
      <w:r>
        <w:rPr>
          <w:rFonts w:ascii="Calibri" w:eastAsia="Calibri" w:hAnsi="Calibri" w:cs="Calibri"/>
        </w:rPr>
        <w:br/>
      </w:r>
    </w:p>
    <w:p w14:paraId="00000051" w14:textId="77777777" w:rsidR="00536574" w:rsidRDefault="00657EF2">
      <w:pPr>
        <w:numPr>
          <w:ilvl w:val="0"/>
          <w:numId w:val="12"/>
        </w:numPr>
        <w:spacing w:line="240" w:lineRule="auto"/>
        <w:rPr>
          <w:rFonts w:ascii="Calibri" w:eastAsia="Calibri" w:hAnsi="Calibri" w:cs="Calibri"/>
        </w:rPr>
      </w:pPr>
      <w:r>
        <w:rPr>
          <w:rFonts w:ascii="Calibri" w:eastAsia="Calibri" w:hAnsi="Calibri" w:cs="Calibri"/>
        </w:rPr>
        <w:t>Resultado del análisis conforme a los criterios del instructivo.</w:t>
      </w:r>
      <w:r>
        <w:rPr>
          <w:rFonts w:ascii="Calibri" w:eastAsia="Calibri" w:hAnsi="Calibri" w:cs="Calibri"/>
        </w:rPr>
        <w:br/>
      </w:r>
    </w:p>
    <w:p w14:paraId="00000052" w14:textId="77777777" w:rsidR="00536574" w:rsidRDefault="00657EF2">
      <w:pPr>
        <w:numPr>
          <w:ilvl w:val="0"/>
          <w:numId w:val="12"/>
        </w:numPr>
        <w:spacing w:line="240" w:lineRule="auto"/>
      </w:pPr>
      <w:r>
        <w:rPr>
          <w:rFonts w:ascii="Calibri" w:eastAsia="Calibri" w:hAnsi="Calibri" w:cs="Calibri"/>
        </w:rPr>
        <w:t>Decisión adoptada: Pago del EDP o Provisión.</w:t>
      </w:r>
      <w:r>
        <w:rPr>
          <w:rFonts w:ascii="Calibri" w:eastAsia="Calibri" w:hAnsi="Calibri" w:cs="Calibri"/>
        </w:rPr>
        <w:br/>
      </w:r>
    </w:p>
    <w:p w14:paraId="00000053" w14:textId="77777777" w:rsidR="00536574" w:rsidRDefault="00657EF2">
      <w:pPr>
        <w:numPr>
          <w:ilvl w:val="0"/>
          <w:numId w:val="12"/>
        </w:numPr>
        <w:spacing w:after="240" w:line="240" w:lineRule="auto"/>
        <w:rPr>
          <w:rFonts w:ascii="Calibri" w:eastAsia="Calibri" w:hAnsi="Calibri" w:cs="Calibri"/>
        </w:rPr>
      </w:pPr>
      <w:r>
        <w:rPr>
          <w:rFonts w:ascii="Calibri" w:eastAsia="Calibri" w:hAnsi="Calibri" w:cs="Calibri"/>
        </w:rPr>
        <w:t>Observaciones para seguimiento (renovación, modificación contractual, cierre parcial, etc.).</w:t>
      </w:r>
    </w:p>
    <w:p w14:paraId="00000054" w14:textId="77777777" w:rsidR="00536574" w:rsidRDefault="00657EF2">
      <w:pPr>
        <w:spacing w:after="80"/>
        <w:rPr>
          <w:rFonts w:ascii="Calibri" w:eastAsia="Calibri" w:hAnsi="Calibri" w:cs="Calibri"/>
          <w:b/>
          <w:bCs/>
          <w:color w:val="31849B"/>
        </w:rPr>
      </w:pPr>
      <w:r>
        <w:rPr>
          <w:rFonts w:ascii="Calibri" w:eastAsia="Calibri" w:hAnsi="Calibri" w:cs="Calibri"/>
          <w:b/>
          <w:bCs/>
          <w:color w:val="31849B"/>
        </w:rPr>
        <w:t>9. Relación con el Cuerpo del Instructivo</w:t>
      </w:r>
    </w:p>
    <w:p w14:paraId="00000055" w14:textId="77777777" w:rsidR="00536574" w:rsidRDefault="00657EF2">
      <w:pPr>
        <w:spacing w:before="240" w:after="240"/>
        <w:rPr>
          <w:rFonts w:ascii="Calibri" w:eastAsia="Calibri" w:hAnsi="Calibri" w:cs="Calibri"/>
        </w:rPr>
      </w:pPr>
      <w:r>
        <w:rPr>
          <w:rFonts w:ascii="Calibri" w:eastAsia="Calibri" w:hAnsi="Calibri" w:cs="Calibri"/>
        </w:rPr>
        <w:t>Las decisiones derivadas de este procedimiento operativo deben alinearse estrictamente con los criterios definidos en:</w:t>
      </w:r>
    </w:p>
    <w:p w14:paraId="00000056" w14:textId="77777777" w:rsidR="00536574" w:rsidRDefault="00657EF2">
      <w:pPr>
        <w:numPr>
          <w:ilvl w:val="0"/>
          <w:numId w:val="1"/>
        </w:numPr>
        <w:spacing w:before="240"/>
        <w:rPr>
          <w:rFonts w:ascii="Calibri" w:eastAsia="Calibri" w:hAnsi="Calibri" w:cs="Calibri"/>
        </w:rPr>
      </w:pPr>
      <w:r>
        <w:rPr>
          <w:rFonts w:ascii="Calibri" w:eastAsia="Calibri" w:hAnsi="Calibri" w:cs="Calibri"/>
        </w:rPr>
        <w:t>Capítulo 3 – Principios Generales</w:t>
      </w:r>
      <w:r>
        <w:rPr>
          <w:rFonts w:ascii="Calibri" w:eastAsia="Calibri" w:hAnsi="Calibri" w:cs="Calibri"/>
        </w:rPr>
        <w:br/>
      </w:r>
    </w:p>
    <w:p w14:paraId="00000057" w14:textId="77777777" w:rsidR="00536574" w:rsidRDefault="00657EF2">
      <w:pPr>
        <w:numPr>
          <w:ilvl w:val="0"/>
          <w:numId w:val="1"/>
        </w:numPr>
        <w:rPr>
          <w:rFonts w:ascii="Calibri" w:eastAsia="Calibri" w:hAnsi="Calibri" w:cs="Calibri"/>
        </w:rPr>
      </w:pPr>
      <w:r>
        <w:rPr>
          <w:rFonts w:ascii="Calibri" w:eastAsia="Calibri" w:hAnsi="Calibri" w:cs="Calibri"/>
        </w:rPr>
        <w:t>Capítulo 4 – Criterios de Decisión para BackOffice</w:t>
      </w:r>
      <w:r>
        <w:rPr>
          <w:rFonts w:ascii="Calibri" w:eastAsia="Calibri" w:hAnsi="Calibri" w:cs="Calibri"/>
        </w:rPr>
        <w:br/>
      </w:r>
    </w:p>
    <w:p w14:paraId="00000058" w14:textId="77777777" w:rsidR="00536574" w:rsidRDefault="00657EF2">
      <w:pPr>
        <w:numPr>
          <w:ilvl w:val="0"/>
          <w:numId w:val="1"/>
        </w:numPr>
        <w:spacing w:after="240"/>
        <w:rPr>
          <w:rFonts w:ascii="Calibri" w:eastAsia="Calibri" w:hAnsi="Calibri" w:cs="Calibri"/>
        </w:rPr>
      </w:pPr>
      <w:r>
        <w:rPr>
          <w:rFonts w:ascii="Calibri" w:eastAsia="Calibri" w:hAnsi="Calibri" w:cs="Calibri"/>
        </w:rPr>
        <w:t>Capítulo 5 – Contrato Base Consumido / Modificación Contractual en Curso</w:t>
      </w:r>
      <w:r>
        <w:rPr>
          <w:rFonts w:ascii="Calibri" w:eastAsia="Calibri" w:hAnsi="Calibri" w:cs="Calibri"/>
        </w:rPr>
        <w:br/>
      </w:r>
    </w:p>
    <w:p w14:paraId="00000059" w14:textId="77777777" w:rsidR="00536574" w:rsidRDefault="00657EF2">
      <w:pPr>
        <w:spacing w:before="240" w:after="240"/>
        <w:rPr>
          <w:rFonts w:ascii="Calibri" w:eastAsia="Calibri" w:hAnsi="Calibri" w:cs="Calibri"/>
        </w:rPr>
      </w:pPr>
      <w:r>
        <w:rPr>
          <w:rFonts w:ascii="Calibri" w:eastAsia="Calibri" w:hAnsi="Calibri" w:cs="Calibri"/>
        </w:rPr>
        <w:t>Este anexo no habilita excepciones ni interpretaciones fuera de dicho marco.</w:t>
      </w:r>
    </w:p>
    <w:p w14:paraId="0000005A" w14:textId="77777777" w:rsidR="00536574" w:rsidRDefault="00536574"/>
    <w:sectPr w:rsidR="00536574">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19D9E" w14:textId="77777777" w:rsidR="00CD5302" w:rsidRDefault="00CD5302" w:rsidP="00477744">
      <w:pPr>
        <w:spacing w:line="240" w:lineRule="auto"/>
      </w:pPr>
      <w:r>
        <w:separator/>
      </w:r>
    </w:p>
  </w:endnote>
  <w:endnote w:type="continuationSeparator" w:id="0">
    <w:p w14:paraId="3EE59E21" w14:textId="77777777" w:rsidR="00CD5302" w:rsidRDefault="00CD5302" w:rsidP="004777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D71E57-41CC-4398-933A-A47E1ED7D8E0}"/>
    <w:embedBold r:id="rId2" w:fontKey="{C506AC60-5433-4900-992B-784209F72AF7}"/>
    <w:embedItalic r:id="rId3" w:fontKey="{4F28675F-3C93-477A-A5F2-4B7691BB398C}"/>
  </w:font>
  <w:font w:name="Cambria">
    <w:panose1 w:val="02040503050406030204"/>
    <w:charset w:val="00"/>
    <w:family w:val="roman"/>
    <w:pitch w:val="variable"/>
    <w:sig w:usb0="E00006FF" w:usb1="420024FF" w:usb2="02000000" w:usb3="00000000" w:csb0="0000019F" w:csb1="00000000"/>
    <w:embedRegular r:id="rId4" w:fontKey="{A35B9C81-1481-4D3E-B94D-934C443FB9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6FD4F" w14:textId="77777777" w:rsidR="00CD5302" w:rsidRDefault="00CD5302" w:rsidP="00477744">
      <w:pPr>
        <w:spacing w:line="240" w:lineRule="auto"/>
      </w:pPr>
      <w:r>
        <w:separator/>
      </w:r>
    </w:p>
  </w:footnote>
  <w:footnote w:type="continuationSeparator" w:id="0">
    <w:p w14:paraId="5BDB31C6" w14:textId="77777777" w:rsidR="00CD5302" w:rsidRDefault="00CD5302" w:rsidP="004777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0A84" w14:textId="527E4B96" w:rsidR="00477744" w:rsidRDefault="00CF3783">
    <w:pPr>
      <w:pStyle w:val="Encabezado"/>
    </w:pPr>
    <w:r>
      <w:rPr>
        <w:noProof/>
        <w:color w:val="000000"/>
      </w:rPr>
      <w:drawing>
        <wp:anchor distT="0" distB="0" distL="114300" distR="114300" simplePos="0" relativeHeight="251660288" behindDoc="1" locked="0" layoutInCell="1" allowOverlap="1" wp14:anchorId="52268B17" wp14:editId="21773FB2">
          <wp:simplePos x="0" y="0"/>
          <wp:positionH relativeFrom="column">
            <wp:posOffset>0</wp:posOffset>
          </wp:positionH>
          <wp:positionV relativeFrom="paragraph">
            <wp:posOffset>0</wp:posOffset>
          </wp:positionV>
          <wp:extent cx="897983" cy="302653"/>
          <wp:effectExtent l="0" t="0" r="0" b="2540"/>
          <wp:wrapTight wrapText="bothSides">
            <wp:wrapPolygon edited="0">
              <wp:start x="0" y="0"/>
              <wp:lineTo x="0" y="20420"/>
              <wp:lineTo x="21081" y="20420"/>
              <wp:lineTo x="21081" y="0"/>
              <wp:lineTo x="0" y="0"/>
            </wp:wrapPolygon>
          </wp:wrapTight>
          <wp:docPr id="2063723038" name="image2.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63723038" name="image2.png" descr="Logotipo&#10;&#10;El contenido generado por IA puede ser incorrecto."/>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897983" cy="302653"/>
                  </a:xfrm>
                  <a:prstGeom prst="rect">
                    <a:avLst/>
                  </a:prstGeom>
                  <a:ln/>
                </pic:spPr>
              </pic:pic>
            </a:graphicData>
          </a:graphic>
        </wp:anchor>
      </w:drawing>
    </w:r>
    <w:r w:rsidR="00477744">
      <w:rPr>
        <w:noProof/>
      </w:rPr>
      <w:drawing>
        <wp:anchor distT="0" distB="0" distL="0" distR="0" simplePos="0" relativeHeight="251658240" behindDoc="1" locked="0" layoutInCell="1" hidden="0" allowOverlap="1" wp14:anchorId="7EC28D32" wp14:editId="7E239FC6">
          <wp:simplePos x="0" y="0"/>
          <wp:positionH relativeFrom="margin">
            <wp:posOffset>1949450</wp:posOffset>
          </wp:positionH>
          <wp:positionV relativeFrom="paragraph">
            <wp:posOffset>-457200</wp:posOffset>
          </wp:positionV>
          <wp:extent cx="4681220" cy="10680700"/>
          <wp:effectExtent l="0" t="0" r="5080" b="6350"/>
          <wp:wrapNone/>
          <wp:docPr id="2063723034" name="image5.png" descr="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63723034" name="image5.png" descr="Patrón de fondo&#10;&#10;El contenido generado por IA puede ser incorrecto."/>
                  <pic:cNvPicPr preferRelativeResize="0"/>
                </pic:nvPicPr>
                <pic:blipFill>
                  <a:blip r:embed="rId2"/>
                  <a:srcRect/>
                  <a:stretch>
                    <a:fillRect/>
                  </a:stretch>
                </pic:blipFill>
                <pic:spPr>
                  <a:xfrm>
                    <a:off x="0" y="0"/>
                    <a:ext cx="4681220" cy="10680700"/>
                  </a:xfrm>
                  <a:prstGeom prst="rect">
                    <a:avLst/>
                  </a:prstGeom>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0C22"/>
    <w:multiLevelType w:val="multilevel"/>
    <w:tmpl w:val="6D0CE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4A2389"/>
    <w:multiLevelType w:val="hybridMultilevel"/>
    <w:tmpl w:val="D51C1E1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11F76B7D"/>
    <w:multiLevelType w:val="multilevel"/>
    <w:tmpl w:val="C8088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114B6C"/>
    <w:multiLevelType w:val="multilevel"/>
    <w:tmpl w:val="8C066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9F90AF6"/>
    <w:multiLevelType w:val="multilevel"/>
    <w:tmpl w:val="5E5A3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D34325"/>
    <w:multiLevelType w:val="multilevel"/>
    <w:tmpl w:val="5D2CE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0B0FD0"/>
    <w:multiLevelType w:val="multilevel"/>
    <w:tmpl w:val="89642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866455"/>
    <w:multiLevelType w:val="hybridMultilevel"/>
    <w:tmpl w:val="992EFF2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0945F22"/>
    <w:multiLevelType w:val="multilevel"/>
    <w:tmpl w:val="DE56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E23AF"/>
    <w:multiLevelType w:val="multilevel"/>
    <w:tmpl w:val="76DA1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447CDB"/>
    <w:multiLevelType w:val="multilevel"/>
    <w:tmpl w:val="87FC5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062D34"/>
    <w:multiLevelType w:val="multilevel"/>
    <w:tmpl w:val="AF4C6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093B4F"/>
    <w:multiLevelType w:val="multilevel"/>
    <w:tmpl w:val="2C32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563B8"/>
    <w:multiLevelType w:val="multilevel"/>
    <w:tmpl w:val="9434F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9773D9"/>
    <w:multiLevelType w:val="multilevel"/>
    <w:tmpl w:val="260849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DB736ED"/>
    <w:multiLevelType w:val="multilevel"/>
    <w:tmpl w:val="BA04C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2441563">
    <w:abstractNumId w:val="10"/>
  </w:num>
  <w:num w:numId="2" w16cid:durableId="1165851769">
    <w:abstractNumId w:val="3"/>
  </w:num>
  <w:num w:numId="3" w16cid:durableId="1357148151">
    <w:abstractNumId w:val="4"/>
  </w:num>
  <w:num w:numId="4" w16cid:durableId="1120370054">
    <w:abstractNumId w:val="14"/>
  </w:num>
  <w:num w:numId="5" w16cid:durableId="1690788609">
    <w:abstractNumId w:val="13"/>
  </w:num>
  <w:num w:numId="6" w16cid:durableId="887181066">
    <w:abstractNumId w:val="5"/>
  </w:num>
  <w:num w:numId="7" w16cid:durableId="216555005">
    <w:abstractNumId w:val="15"/>
  </w:num>
  <w:num w:numId="8" w16cid:durableId="2065983699">
    <w:abstractNumId w:val="9"/>
  </w:num>
  <w:num w:numId="9" w16cid:durableId="890580570">
    <w:abstractNumId w:val="0"/>
  </w:num>
  <w:num w:numId="10" w16cid:durableId="185216262">
    <w:abstractNumId w:val="6"/>
  </w:num>
  <w:num w:numId="11" w16cid:durableId="2032367739">
    <w:abstractNumId w:val="2"/>
  </w:num>
  <w:num w:numId="12" w16cid:durableId="1088694559">
    <w:abstractNumId w:val="11"/>
  </w:num>
  <w:num w:numId="13" w16cid:durableId="1038626659">
    <w:abstractNumId w:val="7"/>
  </w:num>
  <w:num w:numId="14" w16cid:durableId="1285186423">
    <w:abstractNumId w:val="1"/>
  </w:num>
  <w:num w:numId="15" w16cid:durableId="132529293">
    <w:abstractNumId w:val="12"/>
  </w:num>
  <w:num w:numId="16" w16cid:durableId="16936046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574"/>
    <w:rsid w:val="000134E1"/>
    <w:rsid w:val="000B481A"/>
    <w:rsid w:val="000D5157"/>
    <w:rsid w:val="000F2B92"/>
    <w:rsid w:val="00186B2E"/>
    <w:rsid w:val="001F70EC"/>
    <w:rsid w:val="002E5D07"/>
    <w:rsid w:val="003D0F6B"/>
    <w:rsid w:val="00427C19"/>
    <w:rsid w:val="00441389"/>
    <w:rsid w:val="00477744"/>
    <w:rsid w:val="00536574"/>
    <w:rsid w:val="005A6126"/>
    <w:rsid w:val="00657EF2"/>
    <w:rsid w:val="006826D6"/>
    <w:rsid w:val="00683AB2"/>
    <w:rsid w:val="008C438A"/>
    <w:rsid w:val="0091687C"/>
    <w:rsid w:val="00994E86"/>
    <w:rsid w:val="009C1CF6"/>
    <w:rsid w:val="00A31CC4"/>
    <w:rsid w:val="00C416B1"/>
    <w:rsid w:val="00CD5302"/>
    <w:rsid w:val="00CF3783"/>
    <w:rsid w:val="00EC0208"/>
    <w:rsid w:val="00F048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44528"/>
  <w15:docId w15:val="{8CDA5BEA-BB69-4717-B922-AF57B7DB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186B2E"/>
    <w:rPr>
      <w:sz w:val="16"/>
      <w:szCs w:val="16"/>
    </w:rPr>
  </w:style>
  <w:style w:type="paragraph" w:styleId="Textocomentario">
    <w:name w:val="annotation text"/>
    <w:basedOn w:val="Normal"/>
    <w:link w:val="TextocomentarioCar"/>
    <w:uiPriority w:val="99"/>
    <w:unhideWhenUsed/>
    <w:rsid w:val="00186B2E"/>
    <w:pPr>
      <w:spacing w:line="240" w:lineRule="auto"/>
    </w:pPr>
    <w:rPr>
      <w:sz w:val="20"/>
      <w:szCs w:val="20"/>
    </w:rPr>
  </w:style>
  <w:style w:type="character" w:customStyle="1" w:styleId="TextocomentarioCar">
    <w:name w:val="Texto comentario Car"/>
    <w:basedOn w:val="Fuentedeprrafopredeter"/>
    <w:link w:val="Textocomentario"/>
    <w:uiPriority w:val="99"/>
    <w:rsid w:val="00186B2E"/>
    <w:rPr>
      <w:sz w:val="20"/>
      <w:szCs w:val="20"/>
    </w:rPr>
  </w:style>
  <w:style w:type="paragraph" w:styleId="Asuntodelcomentario">
    <w:name w:val="annotation subject"/>
    <w:basedOn w:val="Textocomentario"/>
    <w:next w:val="Textocomentario"/>
    <w:link w:val="AsuntodelcomentarioCar"/>
    <w:uiPriority w:val="99"/>
    <w:semiHidden/>
    <w:unhideWhenUsed/>
    <w:rsid w:val="00186B2E"/>
    <w:rPr>
      <w:b/>
      <w:bCs/>
    </w:rPr>
  </w:style>
  <w:style w:type="character" w:customStyle="1" w:styleId="AsuntodelcomentarioCar">
    <w:name w:val="Asunto del comentario Car"/>
    <w:basedOn w:val="TextocomentarioCar"/>
    <w:link w:val="Asuntodelcomentario"/>
    <w:uiPriority w:val="99"/>
    <w:semiHidden/>
    <w:rsid w:val="00186B2E"/>
    <w:rPr>
      <w:b/>
      <w:bCs/>
      <w:sz w:val="20"/>
      <w:szCs w:val="20"/>
    </w:rPr>
  </w:style>
  <w:style w:type="paragraph" w:styleId="Prrafodelista">
    <w:name w:val="List Paragraph"/>
    <w:basedOn w:val="Normal"/>
    <w:uiPriority w:val="34"/>
    <w:qFormat/>
    <w:rsid w:val="00683AB2"/>
    <w:pPr>
      <w:ind w:left="720"/>
      <w:contextualSpacing/>
    </w:pPr>
  </w:style>
  <w:style w:type="paragraph" w:styleId="Encabezado">
    <w:name w:val="header"/>
    <w:basedOn w:val="Normal"/>
    <w:link w:val="EncabezadoCar"/>
    <w:uiPriority w:val="99"/>
    <w:unhideWhenUsed/>
    <w:rsid w:val="0047774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77744"/>
  </w:style>
  <w:style w:type="paragraph" w:styleId="Piedepgina">
    <w:name w:val="footer"/>
    <w:basedOn w:val="Normal"/>
    <w:link w:val="PiedepginaCar"/>
    <w:uiPriority w:val="99"/>
    <w:unhideWhenUsed/>
    <w:rsid w:val="0047774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77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743E91485A5E45879A9B731E1658E0" ma:contentTypeVersion="3" ma:contentTypeDescription="Crear nuevo documento." ma:contentTypeScope="" ma:versionID="12b715dbede7b8453a80372b87912c2e">
  <xsd:schema xmlns:xsd="http://www.w3.org/2001/XMLSchema" xmlns:xs="http://www.w3.org/2001/XMLSchema" xmlns:p="http://schemas.microsoft.com/office/2006/metadata/properties" xmlns:ns2="407ea779-b773-4460-a625-b2007399de77" targetNamespace="http://schemas.microsoft.com/office/2006/metadata/properties" ma:root="true" ma:fieldsID="9a1435c839457a0ecc5089839f5f8934" ns2:_="">
    <xsd:import namespace="407ea779-b773-4460-a625-b2007399de7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ea779-b773-4460-a625-b2007399de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08C58D-64FD-46B1-9642-5ACE4FDCED5B}"/>
</file>

<file path=customXml/itemProps2.xml><?xml version="1.0" encoding="utf-8"?>
<ds:datastoreItem xmlns:ds="http://schemas.openxmlformats.org/officeDocument/2006/customXml" ds:itemID="{ADAED644-265C-4486-A8CF-A5DE4CE85C94}"/>
</file>

<file path=customXml/itemProps3.xml><?xml version="1.0" encoding="utf-8"?>
<ds:datastoreItem xmlns:ds="http://schemas.openxmlformats.org/officeDocument/2006/customXml" ds:itemID="{85337F86-4D10-4C61-A374-F569BB8AFBFB}"/>
</file>

<file path=docProps/app.xml><?xml version="1.0" encoding="utf-8"?>
<Properties xmlns="http://schemas.openxmlformats.org/officeDocument/2006/extended-properties" xmlns:vt="http://schemas.openxmlformats.org/officeDocument/2006/docPropsVTypes">
  <Template>Normal</Template>
  <TotalTime>0</TotalTime>
  <Pages>5</Pages>
  <Words>1113</Words>
  <Characters>6301</Characters>
  <Application>Microsoft Office Word</Application>
  <DocSecurity>0</DocSecurity>
  <Lines>175</Lines>
  <Paragraphs>110</Paragraphs>
  <ScaleCrop>false</ScaleCrop>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Isidora Escobar</dc:creator>
  <cp:lastModifiedBy>Isidora Escobar</cp:lastModifiedBy>
  <cp:revision>2</cp:revision>
  <dcterms:created xsi:type="dcterms:W3CDTF">2026-03-26T14:39:00Z</dcterms:created>
  <dcterms:modified xsi:type="dcterms:W3CDTF">2026-03-26T14:39:00Z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10700</vt:r8>
  </property>
  <property fmtid="{D5CDD505-2E9C-101B-9397-08002B2CF9AE}" pid="3" name="ContentTypeId">
    <vt:lpwstr>0x01010008743E91485A5E45879A9B731E1658E0</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