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09A3" w14:textId="77777777" w:rsidR="00314141" w:rsidRDefault="00592E42">
      <w:pPr>
        <w:pStyle w:val="a4"/>
      </w:pPr>
      <w:r>
        <w:t>Отчет по лабораторной работе №4</w:t>
      </w:r>
    </w:p>
    <w:p w14:paraId="14D709A4" w14:textId="77777777" w:rsidR="00314141" w:rsidRDefault="00592E42">
      <w:pPr>
        <w:pStyle w:val="a5"/>
      </w:pPr>
      <w:r>
        <w:t>Модель гармонических колебаний</w:t>
      </w:r>
    </w:p>
    <w:p w14:paraId="14D709A5" w14:textId="77777777" w:rsidR="00314141" w:rsidRDefault="00592E42">
      <w:pPr>
        <w:pStyle w:val="Author"/>
      </w:pPr>
      <w:r>
        <w:t>Исаханян Эдуард Тигранович</w:t>
      </w:r>
    </w:p>
    <w:p w14:paraId="14D709A6" w14:textId="77777777" w:rsidR="00314141" w:rsidRDefault="00592E42">
      <w:pPr>
        <w:pStyle w:val="a6"/>
      </w:pPr>
      <w:r>
        <w:t>2022 Feb 25th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89695074"/>
        <w:docPartObj>
          <w:docPartGallery w:val="Table of Contents"/>
          <w:docPartUnique/>
        </w:docPartObj>
      </w:sdtPr>
      <w:sdtEndPr/>
      <w:sdtContent>
        <w:p w14:paraId="14D709A7" w14:textId="77777777" w:rsidR="00314141" w:rsidRDefault="00592E42">
          <w:pPr>
            <w:pStyle w:val="ae"/>
          </w:pPr>
          <w:r>
            <w:t>Содержание</w:t>
          </w:r>
        </w:p>
        <w:p w14:paraId="0DF8C883" w14:textId="7CA23240" w:rsidR="00063185" w:rsidRDefault="00592E4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766994" w:history="1">
            <w:r w:rsidR="00063185" w:rsidRPr="00532428">
              <w:rPr>
                <w:rStyle w:val="ad"/>
                <w:noProof/>
              </w:rPr>
              <w:t>Цель работы</w:t>
            </w:r>
            <w:r w:rsidR="00063185">
              <w:rPr>
                <w:noProof/>
                <w:webHidden/>
              </w:rPr>
              <w:tab/>
            </w:r>
            <w:r w:rsidR="00063185">
              <w:rPr>
                <w:noProof/>
                <w:webHidden/>
              </w:rPr>
              <w:fldChar w:fldCharType="begin"/>
            </w:r>
            <w:r w:rsidR="00063185">
              <w:rPr>
                <w:noProof/>
                <w:webHidden/>
              </w:rPr>
              <w:instrText xml:space="preserve"> PAGEREF _Toc96766994 \h </w:instrText>
            </w:r>
            <w:r w:rsidR="00063185">
              <w:rPr>
                <w:noProof/>
                <w:webHidden/>
              </w:rPr>
            </w:r>
            <w:r w:rsidR="00063185">
              <w:rPr>
                <w:noProof/>
                <w:webHidden/>
              </w:rPr>
              <w:fldChar w:fldCharType="separate"/>
            </w:r>
            <w:r w:rsidR="00063185">
              <w:rPr>
                <w:noProof/>
                <w:webHidden/>
              </w:rPr>
              <w:t>1</w:t>
            </w:r>
            <w:r w:rsidR="00063185">
              <w:rPr>
                <w:noProof/>
                <w:webHidden/>
              </w:rPr>
              <w:fldChar w:fldCharType="end"/>
            </w:r>
          </w:hyperlink>
        </w:p>
        <w:p w14:paraId="1C310BFB" w14:textId="31822164" w:rsidR="00063185" w:rsidRDefault="0006318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66995" w:history="1">
            <w:r w:rsidRPr="0053242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_Toc96766995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54D1D" w14:textId="0BD83A26" w:rsidR="00063185" w:rsidRDefault="0006318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66996" w:history="1">
            <w:r w:rsidRPr="00532428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_Toc96766996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C1C78" w14:textId="2A2EF254" w:rsidR="00063185" w:rsidRDefault="0006318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66997" w:history="1">
            <w:r w:rsidRPr="0053242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_Toc96766997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CD49" w14:textId="5C7E460D" w:rsidR="00063185" w:rsidRDefault="0006318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66998" w:history="1">
            <w:r w:rsidRPr="00532428">
              <w:rPr>
                <w:rStyle w:val="ad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_Toc96766998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C2B02" w14:textId="32B32C68" w:rsidR="00063185" w:rsidRDefault="00063185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6766999" w:history="1">
            <w:r w:rsidRPr="00532428">
              <w:rPr>
                <w:rStyle w:val="ad"/>
                <w:noProof/>
              </w:rPr>
              <w:t>Запишите простейшую модель гармонических колебаний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_Toc96766999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C7A1" w14:textId="217BEAB0" w:rsidR="00063185" w:rsidRDefault="00063185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6767000" w:history="1">
            <w:r w:rsidRPr="00532428">
              <w:rPr>
                <w:rStyle w:val="ad"/>
                <w:noProof/>
              </w:rPr>
              <w:t>Дайте определение осциллятора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_Toc96767000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29D3" w14:textId="65E60788" w:rsidR="00063185" w:rsidRDefault="00063185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6767001" w:history="1">
            <w:r w:rsidRPr="00532428">
              <w:rPr>
                <w:rStyle w:val="ad"/>
                <w:noProof/>
              </w:rPr>
              <w:t>Запишите модель математического маятника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_Toc96767001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88A7" w14:textId="5A23BBB9" w:rsidR="00063185" w:rsidRDefault="00063185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6767002" w:history="1">
            <w:r w:rsidRPr="00532428">
              <w:rPr>
                <w:rStyle w:val="ad"/>
                <w:noProof/>
              </w:rPr>
              <w:t>Запишите алгоритм перехода от дифференциального уравнения второго порядка к двум дифференциальным уравнениям первого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_Toc96767002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3207" w14:textId="49C14248" w:rsidR="00063185" w:rsidRDefault="00063185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96767003" w:history="1">
            <w:r w:rsidRPr="00532428">
              <w:rPr>
                <w:rStyle w:val="ad"/>
                <w:noProof/>
              </w:rPr>
              <w:t>Что такое фазовый портрет и фазовая траектория?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_Toc96767003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1BB4" w14:textId="62C329AE" w:rsidR="00063185" w:rsidRDefault="0006318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67004" w:history="1">
            <w:r w:rsidRPr="0053242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_Toc96767004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74C0" w14:textId="10C1E017" w:rsidR="00063185" w:rsidRDefault="0006318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767005" w:history="1">
            <w:r w:rsidRPr="0053242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_Toc96767005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09A8" w14:textId="0977B19C" w:rsidR="00314141" w:rsidRDefault="00592E42">
          <w:r>
            <w:fldChar w:fldCharType="end"/>
          </w:r>
        </w:p>
      </w:sdtContent>
    </w:sdt>
    <w:p w14:paraId="14D709A9" w14:textId="77777777" w:rsidR="00314141" w:rsidRDefault="00592E42">
      <w:pPr>
        <w:pStyle w:val="1"/>
      </w:pPr>
      <w:bookmarkStart w:id="0" w:name="цель-работы"/>
      <w:bookmarkStart w:id="1" w:name="_Toc96766994"/>
      <w:r>
        <w:t>Цель работы</w:t>
      </w:r>
      <w:bookmarkEnd w:id="1"/>
    </w:p>
    <w:p w14:paraId="14D709AA" w14:textId="77777777" w:rsidR="00314141" w:rsidRDefault="00592E42">
      <w:pPr>
        <w:pStyle w:val="FirstParagraph"/>
      </w:pPr>
      <w:r>
        <w:t>Цель данной лабораторной работы научиться строить модели гармонических колебаний на примере линейного гармонического осциллятора. Построить фазовый портрет гармонического осциллятора. Решить уравнения гармонического осциллятора.</w:t>
      </w:r>
    </w:p>
    <w:p w14:paraId="14D709AB" w14:textId="77777777" w:rsidR="00314141" w:rsidRDefault="00592E42">
      <w:pPr>
        <w:pStyle w:val="1"/>
      </w:pPr>
      <w:bookmarkStart w:id="2" w:name="задание"/>
      <w:bookmarkStart w:id="3" w:name="_Toc96766995"/>
      <w:bookmarkEnd w:id="0"/>
      <w:r>
        <w:t>Задание</w:t>
      </w:r>
      <w:bookmarkEnd w:id="3"/>
    </w:p>
    <w:p w14:paraId="14D709AC" w14:textId="77777777" w:rsidR="00314141" w:rsidRDefault="00592E42">
      <w:pPr>
        <w:pStyle w:val="FirstParagraph"/>
      </w:pPr>
      <w:r>
        <w:t>Построить фазовый п</w:t>
      </w:r>
      <w:r>
        <w:t>ортрет гармонического осциллятора и решение уравнения гармонического осциллятора для следующих случаев</w:t>
      </w:r>
    </w:p>
    <w:p w14:paraId="14D709AD" w14:textId="77777777" w:rsidR="00314141" w:rsidRDefault="00592E42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без затуханий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1.5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14D709AE" w14:textId="77777777" w:rsidR="00314141" w:rsidRDefault="00592E42">
      <w:pPr>
        <w:pStyle w:val="Compact"/>
        <w:numPr>
          <w:ilvl w:val="0"/>
          <w:numId w:val="2"/>
        </w:numPr>
      </w:pPr>
      <w:r>
        <w:t>Колебания гармонического осциллятора c затуханием и без действи</w:t>
      </w:r>
      <w:r>
        <w:t xml:space="preserve">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14D709AF" w14:textId="77777777" w:rsidR="00314141" w:rsidRDefault="00592E42">
      <w:pPr>
        <w:pStyle w:val="Compact"/>
        <w:numPr>
          <w:ilvl w:val="0"/>
          <w:numId w:val="2"/>
        </w:numPr>
      </w:pPr>
      <w:r>
        <w:lastRenderedPageBreak/>
        <w:t xml:space="preserve">Колебания гармонического осциллятора c затуханием и под действием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11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br/>
        <w:t xml:space="preserve">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60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(шаг 0.05)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14D709B0" w14:textId="77777777" w:rsidR="00314141" w:rsidRDefault="00592E42">
      <w:pPr>
        <w:pStyle w:val="1"/>
      </w:pPr>
      <w:bookmarkStart w:id="4" w:name="теоретическое-введение"/>
      <w:bookmarkStart w:id="5" w:name="_Toc96766996"/>
      <w:bookmarkEnd w:id="2"/>
      <w:r>
        <w:t>Теоретическое введение</w:t>
      </w:r>
      <w:bookmarkEnd w:id="5"/>
    </w:p>
    <w:p w14:paraId="14D709B1" w14:textId="77777777" w:rsidR="00314141" w:rsidRDefault="00592E42">
      <w:pPr>
        <w:pStyle w:val="FirstParagraph"/>
      </w:pPr>
      <w:r>
        <w:t>Уравнение свободных колебаний гармо</w:t>
      </w:r>
      <w:r>
        <w:t>нического осциллятора имеет следующий вид:</w:t>
      </w:r>
      <w:r>
        <w:br/>
      </w:r>
    </w:p>
    <w:p w14:paraId="14D709B2" w14:textId="77777777" w:rsidR="00314141" w:rsidRDefault="00592E42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4D709B3" w14:textId="77777777" w:rsidR="00314141" w:rsidRDefault="00592E42">
      <w:pPr>
        <w:pStyle w:val="FirstParagraph"/>
      </w:pPr>
      <w:r>
        <w:br/>
      </w:r>
      <m:oMath>
        <m:r>
          <w:rPr>
            <w:rFonts w:ascii="Cambria Math" w:hAnsi="Cambria Math"/>
          </w:rPr>
          <m:t>x</m:t>
        </m:r>
      </m:oMath>
      <w:r>
        <w:t xml:space="preserve"> — переменная, описывающая состояние системы (смещение грузика, заряд конденсатора и т.д.)</w:t>
      </w:r>
      <w:r>
        <w:br/>
      </w:r>
      <m:oMath>
        <m:r>
          <w:rPr>
            <w:rFonts w:ascii="Cambria Math" w:hAnsi="Cambria Math"/>
          </w:rPr>
          <m:t>t</m:t>
        </m:r>
      </m:oMath>
      <w:r>
        <w:t xml:space="preserve"> — время</w:t>
      </w:r>
      <w:r>
        <w:br/>
      </w:r>
      <m:oMath>
        <m:r>
          <w:rPr>
            <w:rFonts w:ascii="Cambria Math" w:hAnsi="Cambria Math"/>
          </w:rPr>
          <m:t>w</m:t>
        </m:r>
      </m:oMath>
      <w:r>
        <w:t xml:space="preserve"> — частота</w:t>
      </w:r>
      <w:r>
        <w:br/>
      </w:r>
      <m:oMath>
        <m:r>
          <w:rPr>
            <w:rFonts w:ascii="Cambria Math" w:hAnsi="Cambria Math"/>
          </w:rPr>
          <m:t>γ</m:t>
        </m:r>
      </m:oMath>
      <w:r>
        <w:t xml:space="preserve"> — затухание</w:t>
      </w:r>
      <w:r>
        <w:br/>
      </w:r>
      <w:r>
        <w:t>При отсутствии потерь в системе получаем уравнение консервативного осциллятора, энергия колебания которого сохраняется во времени:</w:t>
      </w:r>
      <w:r>
        <w:br/>
      </w:r>
    </w:p>
    <w:p w14:paraId="14D709B4" w14:textId="77777777" w:rsidR="00314141" w:rsidRDefault="00592E42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4D709B5" w14:textId="77777777" w:rsidR="00314141" w:rsidRDefault="00592E42">
      <w:pPr>
        <w:pStyle w:val="FirstParagraph"/>
      </w:pPr>
      <w:r>
        <w:br/>
        <w:t>Для однозначной разрешимости уравнения второго порядка необходимо задать два начальных условия вида:</w:t>
      </w:r>
      <w:r>
        <w:br/>
      </w:r>
    </w:p>
    <w:p w14:paraId="14D709B6" w14:textId="77777777" w:rsidR="00314141" w:rsidRDefault="00592E42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14D709B7" w14:textId="77777777" w:rsidR="00314141" w:rsidRDefault="00592E42">
      <w:pPr>
        <w:pStyle w:val="FirstParagraph"/>
      </w:pPr>
      <w:r>
        <w:br/>
        <w:t>Уравнение второго порядка можно представить в виде системы двух уравнений первого порядка:</w:t>
      </w:r>
      <w:r>
        <w:br/>
      </w:r>
    </w:p>
    <w:p w14:paraId="14D709B8" w14:textId="77777777" w:rsidR="00314141" w:rsidRDefault="00592E42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14D709B9" w14:textId="77777777" w:rsidR="00314141" w:rsidRDefault="00592E42">
      <w:pPr>
        <w:pStyle w:val="FirstParagraph"/>
      </w:pPr>
      <w:r>
        <w:br/>
        <w:t>Начальные условия для системы примут вид:</w:t>
      </w:r>
      <w:r>
        <w:br/>
      </w:r>
    </w:p>
    <w:p w14:paraId="14D709BA" w14:textId="77777777" w:rsidR="00314141" w:rsidRDefault="00592E42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14D709BB" w14:textId="77777777" w:rsidR="00314141" w:rsidRDefault="00592E42">
      <w:pPr>
        <w:pStyle w:val="FirstParagraph"/>
      </w:pPr>
      <w:r>
        <w:br/>
        <w:t>Независимые переменные x, y определяют пространство, в котором «д</w:t>
      </w:r>
      <w:r>
        <w:t>вижется» решение. Это фазовое пространство системы, поскольку оно двумерно будем называть его фазовой плоскостью.</w:t>
      </w:r>
      <w:r>
        <w:br/>
        <w:t xml:space="preserve">Значение фазовых координат x, y в любой момент времени полностью определяет </w:t>
      </w:r>
      <w:r>
        <w:lastRenderedPageBreak/>
        <w:t xml:space="preserve">состояние системы. Решению уравнения движения как функции времени </w:t>
      </w:r>
      <w:r>
        <w:t>отвечает гладкая кривая в фазовой плоскости. Она называется фазовой траекторией. Если множество различных решений (соответствующих различным начальным условиям) изобразить на одной фазовой плоскости, возникает общая картина поведения системы. Такую картину</w:t>
      </w:r>
      <w:r>
        <w:t>, образованную набором фазовых траекторий, называют фазовым портретом.</w:t>
      </w:r>
    </w:p>
    <w:p w14:paraId="14D709BC" w14:textId="77777777" w:rsidR="00314141" w:rsidRDefault="00592E42">
      <w:pPr>
        <w:pStyle w:val="1"/>
      </w:pPr>
      <w:bookmarkStart w:id="6" w:name="выполнение-лабораторной-работы"/>
      <w:bookmarkStart w:id="7" w:name="_Toc96766997"/>
      <w:bookmarkEnd w:id="4"/>
      <w:r>
        <w:t>Выполнение лабораторной работы</w:t>
      </w:r>
      <w:bookmarkEnd w:id="7"/>
    </w:p>
    <w:p w14:paraId="14D709BD" w14:textId="77777777" w:rsidR="00314141" w:rsidRDefault="00592E42">
      <w:pPr>
        <w:pStyle w:val="Compact"/>
        <w:numPr>
          <w:ilvl w:val="0"/>
          <w:numId w:val="3"/>
        </w:numPr>
      </w:pPr>
      <w:r>
        <w:t>Напишем код для случая колебания гармонического осциллятора без затуханий и без действий внешней силы.</w:t>
      </w:r>
      <w:r>
        <w:br/>
      </w:r>
      <w:bookmarkStart w:id="8" w:name="fig:001"/>
      <w:r>
        <w:rPr>
          <w:noProof/>
        </w:rPr>
        <w:drawing>
          <wp:inline distT="0" distB="0" distL="0" distR="0" wp14:anchorId="14D709DF" wp14:editId="14D709E0">
            <wp:extent cx="4264638" cy="2397418"/>
            <wp:effectExtent l="0" t="0" r="0" b="0"/>
            <wp:docPr id="1" name="Picture" descr="Код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38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  <w:r>
        <w:br/>
      </w:r>
    </w:p>
    <w:p w14:paraId="14D709BE" w14:textId="77777777" w:rsidR="00314141" w:rsidRDefault="00592E42">
      <w:pPr>
        <w:pStyle w:val="Compact"/>
        <w:numPr>
          <w:ilvl w:val="0"/>
          <w:numId w:val="3"/>
        </w:numPr>
      </w:pPr>
      <w:r>
        <w:t>Решение уравнения гармонического осциллятора для колебания гармонического осциллятора без затуханий и без действий внешней силы.</w:t>
      </w:r>
      <w:r>
        <w:br/>
      </w:r>
      <w:bookmarkStart w:id="9" w:name="fig:002"/>
      <w:r>
        <w:rPr>
          <w:noProof/>
        </w:rPr>
        <w:lastRenderedPageBreak/>
        <w:drawing>
          <wp:inline distT="0" distB="0" distL="0" distR="0" wp14:anchorId="14D709E1" wp14:editId="14D709E2">
            <wp:extent cx="4933149" cy="4456739"/>
            <wp:effectExtent l="0" t="0" r="0" b="0"/>
            <wp:docPr id="2" name="Picture" descr="График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445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  <w:r>
        <w:br/>
      </w:r>
    </w:p>
    <w:p w14:paraId="14D709BF" w14:textId="77777777" w:rsidR="00314141" w:rsidRDefault="00592E42">
      <w:pPr>
        <w:pStyle w:val="Compact"/>
        <w:numPr>
          <w:ilvl w:val="0"/>
          <w:numId w:val="3"/>
        </w:numPr>
      </w:pPr>
      <w:r>
        <w:t>Фазовый портрет га</w:t>
      </w:r>
      <w:r>
        <w:t>рмонического осциллятора для колебания гармонического осциллятора без затуханий и без действий внешней силы.</w:t>
      </w:r>
      <w:r>
        <w:br/>
      </w:r>
      <w:bookmarkStart w:id="10" w:name="fig:003"/>
      <w:r>
        <w:rPr>
          <w:noProof/>
        </w:rPr>
        <w:lastRenderedPageBreak/>
        <w:drawing>
          <wp:inline distT="0" distB="0" distL="0" distR="0" wp14:anchorId="14D709E3" wp14:editId="14D709E4">
            <wp:extent cx="4925465" cy="4472107"/>
            <wp:effectExtent l="0" t="0" r="0" b="0"/>
            <wp:docPr id="3" name="Picture" descr="Фазовый портрет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4472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  <w:r>
        <w:br/>
      </w:r>
    </w:p>
    <w:p w14:paraId="14D709C0" w14:textId="77777777" w:rsidR="00314141" w:rsidRDefault="00592E42">
      <w:pPr>
        <w:pStyle w:val="Compact"/>
        <w:numPr>
          <w:ilvl w:val="0"/>
          <w:numId w:val="3"/>
        </w:numPr>
      </w:pPr>
      <w:r>
        <w:t>Напишем код для случая колебания гармонического осциллятора с затуханием и без действий внешней силы.</w:t>
      </w:r>
      <w:r>
        <w:br/>
      </w:r>
      <w:bookmarkStart w:id="11" w:name="fig:004"/>
      <w:r>
        <w:rPr>
          <w:noProof/>
        </w:rPr>
        <w:drawing>
          <wp:inline distT="0" distB="0" distL="0" distR="0" wp14:anchorId="14D709E5" wp14:editId="14D709E6">
            <wp:extent cx="4810205" cy="2589519"/>
            <wp:effectExtent l="0" t="0" r="0" b="0"/>
            <wp:docPr id="4" name="Picture" descr="Код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05" cy="258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  <w:r>
        <w:br/>
      </w:r>
    </w:p>
    <w:p w14:paraId="14D709C1" w14:textId="77777777" w:rsidR="00314141" w:rsidRDefault="00592E42">
      <w:pPr>
        <w:pStyle w:val="Compact"/>
        <w:numPr>
          <w:ilvl w:val="0"/>
          <w:numId w:val="3"/>
        </w:numPr>
      </w:pPr>
      <w:r>
        <w:t>Решение уравнения гармонического осцилл</w:t>
      </w:r>
      <w:r>
        <w:t>ятора для колебания гармонического осциллятора с затуханием и без действий внешней силы.</w:t>
      </w:r>
      <w:r>
        <w:br/>
      </w:r>
      <w:bookmarkStart w:id="12" w:name="fig:005"/>
      <w:r>
        <w:rPr>
          <w:noProof/>
        </w:rPr>
        <w:lastRenderedPageBreak/>
        <w:drawing>
          <wp:inline distT="0" distB="0" distL="0" distR="0" wp14:anchorId="14D709E7" wp14:editId="14D709E8">
            <wp:extent cx="4925465" cy="4433687"/>
            <wp:effectExtent l="0" t="0" r="0" b="0"/>
            <wp:docPr id="5" name="Picture" descr="График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44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  <w:r>
        <w:br/>
      </w:r>
    </w:p>
    <w:p w14:paraId="14D709C2" w14:textId="77777777" w:rsidR="00314141" w:rsidRDefault="00592E42">
      <w:pPr>
        <w:pStyle w:val="Compact"/>
        <w:numPr>
          <w:ilvl w:val="0"/>
          <w:numId w:val="3"/>
        </w:numPr>
      </w:pPr>
      <w:r>
        <w:t>Фазовый портрет гармонического осциллятора для колебания гармонического осциллятора с затуханием и без действий внешней силы.</w:t>
      </w:r>
      <w:r>
        <w:br/>
      </w:r>
      <w:bookmarkStart w:id="13" w:name="fig:006"/>
      <w:r>
        <w:rPr>
          <w:noProof/>
        </w:rPr>
        <w:drawing>
          <wp:inline distT="0" distB="0" distL="0" distR="0" wp14:anchorId="14D709E9" wp14:editId="14D709EA">
            <wp:extent cx="4956201" cy="4433687"/>
            <wp:effectExtent l="0" t="0" r="0" b="0"/>
            <wp:docPr id="6" name="Picture" descr="Фазовый портрет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44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  <w:r>
        <w:br/>
      </w:r>
    </w:p>
    <w:p w14:paraId="14D709C3" w14:textId="77777777" w:rsidR="00314141" w:rsidRDefault="00592E42">
      <w:pPr>
        <w:pStyle w:val="Compact"/>
        <w:numPr>
          <w:ilvl w:val="0"/>
          <w:numId w:val="3"/>
        </w:numPr>
      </w:pPr>
      <w:r>
        <w:t>Напишем код для случая колебания га</w:t>
      </w:r>
      <w:r>
        <w:t>рмонического осциллятора с затуханием и под действием внешней силы.</w:t>
      </w:r>
      <w:r>
        <w:br/>
      </w:r>
      <w:bookmarkStart w:id="14" w:name="fig:007"/>
      <w:r>
        <w:rPr>
          <w:noProof/>
        </w:rPr>
        <w:drawing>
          <wp:inline distT="0" distB="0" distL="0" distR="0" wp14:anchorId="14D709EB" wp14:editId="14D709EC">
            <wp:extent cx="4011065" cy="2812356"/>
            <wp:effectExtent l="0" t="0" r="0" b="0"/>
            <wp:docPr id="7" name="Picture" descr="Код 3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5" cy="281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  <w:r>
        <w:br/>
      </w:r>
    </w:p>
    <w:p w14:paraId="14D709C4" w14:textId="77777777" w:rsidR="00314141" w:rsidRDefault="00592E42">
      <w:pPr>
        <w:pStyle w:val="Compact"/>
        <w:numPr>
          <w:ilvl w:val="0"/>
          <w:numId w:val="3"/>
        </w:numPr>
      </w:pPr>
      <w:r>
        <w:t>Решение уравнения гармонического осциллятора для колебания гармонического осциллятора с затуханием и под действием внешней силы.</w:t>
      </w:r>
      <w:r>
        <w:br/>
      </w:r>
      <w:bookmarkStart w:id="15" w:name="fig:008"/>
      <w:r>
        <w:rPr>
          <w:noProof/>
        </w:rPr>
        <w:drawing>
          <wp:inline distT="0" distB="0" distL="0" distR="0" wp14:anchorId="14D709ED" wp14:editId="14D709EE">
            <wp:extent cx="4963885" cy="4441371"/>
            <wp:effectExtent l="0" t="0" r="0" b="0"/>
            <wp:docPr id="8" name="Picture" descr="График 3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444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  <w:r>
        <w:br/>
      </w:r>
    </w:p>
    <w:p w14:paraId="14D709C5" w14:textId="77777777" w:rsidR="00314141" w:rsidRDefault="00592E42">
      <w:pPr>
        <w:pStyle w:val="Compact"/>
        <w:numPr>
          <w:ilvl w:val="0"/>
          <w:numId w:val="3"/>
        </w:numPr>
      </w:pPr>
      <w:r>
        <w:t>Фазовый портрет гармонического осциллятора для колеба</w:t>
      </w:r>
      <w:r>
        <w:t>ния гармонического осциллятора с затуханием и под действием внешней силы.</w:t>
      </w:r>
      <w:r>
        <w:br/>
      </w:r>
      <w:bookmarkStart w:id="16" w:name="fig:009"/>
      <w:r>
        <w:rPr>
          <w:noProof/>
        </w:rPr>
        <w:drawing>
          <wp:inline distT="0" distB="0" distL="0" distR="0" wp14:anchorId="14D709EF" wp14:editId="14D709F0">
            <wp:extent cx="4894729" cy="4426003"/>
            <wp:effectExtent l="0" t="0" r="0" b="0"/>
            <wp:docPr id="9" name="Picture" descr="Фазовый портрет 3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442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14D709C6" w14:textId="77777777" w:rsidR="00314141" w:rsidRDefault="00592E42">
      <w:pPr>
        <w:pStyle w:val="1"/>
      </w:pPr>
      <w:bookmarkStart w:id="17" w:name="ответы-на-вопросы"/>
      <w:bookmarkStart w:id="18" w:name="_Toc96766998"/>
      <w:bookmarkEnd w:id="6"/>
      <w:r>
        <w:t>Ответы на вопросы</w:t>
      </w:r>
      <w:bookmarkEnd w:id="18"/>
    </w:p>
    <w:p w14:paraId="14D709C7" w14:textId="77777777" w:rsidR="00314141" w:rsidRDefault="00592E42">
      <w:pPr>
        <w:pStyle w:val="3"/>
      </w:pPr>
      <w:bookmarkStart w:id="19" w:name="X3425f1a17e8dc24d752564c0ed56329df85f43b"/>
      <w:bookmarkStart w:id="20" w:name="_Toc96766999"/>
      <w:r>
        <w:t>Запишите простейшую модель гармонических колебаний</w:t>
      </w:r>
      <w:bookmarkEnd w:id="20"/>
    </w:p>
    <w:p w14:paraId="14D709C8" w14:textId="77777777" w:rsidR="00314141" w:rsidRDefault="00592E42">
      <w:pPr>
        <w:pStyle w:val="FirstParagraph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ωt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- простейшая модель гармонических колебаний.</w:t>
      </w:r>
    </w:p>
    <w:p w14:paraId="14D709C9" w14:textId="77777777" w:rsidR="00314141" w:rsidRDefault="00592E42">
      <w:pPr>
        <w:pStyle w:val="3"/>
      </w:pPr>
      <w:bookmarkStart w:id="21" w:name="дайте-определение-осциллятора"/>
      <w:bookmarkStart w:id="22" w:name="_Toc96767000"/>
      <w:bookmarkEnd w:id="19"/>
      <w:r>
        <w:t>Дайте определение осциллятора</w:t>
      </w:r>
      <w:bookmarkEnd w:id="22"/>
    </w:p>
    <w:p w14:paraId="14D709CA" w14:textId="77777777" w:rsidR="00314141" w:rsidRDefault="00592E42">
      <w:pPr>
        <w:pStyle w:val="FirstParagraph"/>
      </w:pPr>
      <w:r>
        <w:t>Осциллятор - модель, которую в теории колебаний можно описать одним и тем же дифференциальным уравнением.</w:t>
      </w:r>
    </w:p>
    <w:p w14:paraId="14D709CB" w14:textId="77777777" w:rsidR="00314141" w:rsidRDefault="00592E42">
      <w:pPr>
        <w:pStyle w:val="3"/>
      </w:pPr>
      <w:bookmarkStart w:id="23" w:name="запишите-модель-математического-маятника"/>
      <w:bookmarkStart w:id="24" w:name="_Toc96767001"/>
      <w:bookmarkEnd w:id="21"/>
      <w:r>
        <w:t>Запишите модель математического маятника</w:t>
      </w:r>
      <w:bookmarkEnd w:id="24"/>
    </w:p>
    <w:p w14:paraId="14D709CC" w14:textId="77777777" w:rsidR="00314141" w:rsidRDefault="00592E42">
      <w:pPr>
        <w:pStyle w:val="FirstParagraph"/>
      </w:pPr>
      <w:r>
        <w:t>Период колебаний математического м</w:t>
      </w:r>
      <w:r>
        <w:t>аятника выражается по формуле:</w:t>
      </w:r>
      <w:r>
        <w:br/>
      </w:r>
    </w:p>
    <w:p w14:paraId="14D709CD" w14:textId="77777777" w:rsidR="00314141" w:rsidRDefault="00592E4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π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</m:e>
          </m:ra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4D709CE" w14:textId="77777777" w:rsidR="00314141" w:rsidRDefault="00592E42">
      <w:pPr>
        <w:pStyle w:val="FirstParagraph"/>
      </w:pPr>
      <w:r>
        <w:br/>
        <w:t>где:</w:t>
      </w:r>
      <w:r>
        <w:br/>
        <w:t>L - длина нити маятника.</w:t>
      </w:r>
      <w:r>
        <w:br/>
        <w:t>g - ускорение свободного падения.</w:t>
      </w:r>
    </w:p>
    <w:p w14:paraId="14D709CF" w14:textId="77777777" w:rsidR="00314141" w:rsidRDefault="00592E42">
      <w:pPr>
        <w:pStyle w:val="3"/>
      </w:pPr>
      <w:bookmarkStart w:id="25" w:name="X67331ba89b05afec533aa5122a6d2007d58af16"/>
      <w:bookmarkStart w:id="26" w:name="_Toc96767002"/>
      <w:bookmarkEnd w:id="23"/>
      <w:r>
        <w:t>Запишите алгоритм перехода от дифференциального уравнения второго порядка к двум дифференциальным уравнениям первого порядка</w:t>
      </w:r>
      <w:bookmarkEnd w:id="26"/>
    </w:p>
    <w:p w14:paraId="14D709D0" w14:textId="77777777" w:rsidR="00314141" w:rsidRDefault="00592E42">
      <w:pPr>
        <w:pStyle w:val="FirstParagraph"/>
      </w:pPr>
      <w:r>
        <w:t>Пусть у нас есть дифф</w:t>
      </w:r>
      <w:r>
        <w:t>еренциальное уравнение 2-го порядка:</w:t>
      </w:r>
      <w:r>
        <w:br/>
      </w: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4D709D1" w14:textId="77777777" w:rsidR="00314141" w:rsidRDefault="00592E42">
      <w:pPr>
        <w:pStyle w:val="a0"/>
      </w:pPr>
      <w:r>
        <w:t xml:space="preserve">По методу Ранге-Кутты делаем замену, а также переносим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11</m:t>
        </m:r>
        <m:r>
          <w:rPr>
            <w:rFonts w:ascii="Cambria Math" w:hAnsi="Cambria Math"/>
          </w:rPr>
          <m:t>x</m:t>
        </m:r>
      </m:oMath>
      <w:r>
        <w:t xml:space="preserve"> в правую часть:</w:t>
      </w:r>
      <w:r>
        <w:br/>
      </w:r>
    </w:p>
    <w:p w14:paraId="14D709D2" w14:textId="77777777" w:rsidR="00314141" w:rsidRDefault="00592E42">
      <w:pPr>
        <w:pStyle w:val="a0"/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</m:oMath>
      </m:oMathPara>
    </w:p>
    <w:p w14:paraId="14D709D3" w14:textId="77777777" w:rsidR="00314141" w:rsidRDefault="00592E42">
      <w:pPr>
        <w:pStyle w:val="FirstParagraph"/>
      </w:pPr>
      <w:r>
        <w:t>Тогда получим систему уравнений:</w:t>
      </w:r>
      <w:r>
        <w:br/>
      </w:r>
    </w:p>
    <w:p w14:paraId="14D709D4" w14:textId="77777777" w:rsidR="00314141" w:rsidRDefault="00592E42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11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4D709D5" w14:textId="77777777" w:rsidR="00314141" w:rsidRDefault="00592E42">
      <w:pPr>
        <w:pStyle w:val="3"/>
      </w:pPr>
      <w:bookmarkStart w:id="27" w:name="X0b8285b7fde0fc97f6ea77b101f7c13bfc50f83"/>
      <w:bookmarkStart w:id="28" w:name="_Toc96767003"/>
      <w:bookmarkEnd w:id="25"/>
      <w:r>
        <w:t>Что такое фазовый портрет и фазовая траектория?</w:t>
      </w:r>
      <w:bookmarkEnd w:id="28"/>
    </w:p>
    <w:p w14:paraId="14D709D6" w14:textId="77777777" w:rsidR="00314141" w:rsidRDefault="00592E42">
      <w:pPr>
        <w:pStyle w:val="FirstParagraph"/>
      </w:pPr>
      <w:r>
        <w:t>Фазовый портрет — это совокупность фазовых траекторий для всевозможных начальных условий.</w:t>
      </w:r>
    </w:p>
    <w:p w14:paraId="14D709D7" w14:textId="77777777" w:rsidR="00314141" w:rsidRDefault="00592E42">
      <w:pPr>
        <w:pStyle w:val="a0"/>
      </w:pPr>
      <w:r>
        <w:t>Фазовая траектория — траектория движения изображающей точки, сопоставленной изменению состояний системы.</w:t>
      </w:r>
    </w:p>
    <w:p w14:paraId="14D709D8" w14:textId="77777777" w:rsidR="00314141" w:rsidRDefault="00592E42">
      <w:pPr>
        <w:pStyle w:val="1"/>
      </w:pPr>
      <w:bookmarkStart w:id="29" w:name="выводы"/>
      <w:bookmarkStart w:id="30" w:name="_Toc96767004"/>
      <w:bookmarkEnd w:id="17"/>
      <w:bookmarkEnd w:id="27"/>
      <w:r>
        <w:t>Выводы</w:t>
      </w:r>
      <w:bookmarkEnd w:id="30"/>
    </w:p>
    <w:p w14:paraId="14D709D9" w14:textId="77777777" w:rsidR="00314141" w:rsidRDefault="00592E42">
      <w:pPr>
        <w:pStyle w:val="FirstParagraph"/>
      </w:pPr>
      <w:r>
        <w:t>В ходе работы, мы научились строить модели гармонических колебаний на примере линейного гармонического осциллятора. Построили фазовый портрет гармонического осциллятора и решили уравнения гармонического осциллятора для случаев:</w:t>
      </w:r>
    </w:p>
    <w:p w14:paraId="14D709DA" w14:textId="77777777" w:rsidR="00314141" w:rsidRDefault="00592E42">
      <w:pPr>
        <w:pStyle w:val="Compact"/>
        <w:numPr>
          <w:ilvl w:val="0"/>
          <w:numId w:val="4"/>
        </w:numPr>
      </w:pPr>
      <w:r>
        <w:t>Колебания гармонического осц</w:t>
      </w:r>
      <w:r>
        <w:t>иллятора без затуханий и без действий внешней силы.</w:t>
      </w:r>
    </w:p>
    <w:p w14:paraId="14D709DB" w14:textId="77777777" w:rsidR="00314141" w:rsidRDefault="00592E42">
      <w:pPr>
        <w:pStyle w:val="Compact"/>
        <w:numPr>
          <w:ilvl w:val="0"/>
          <w:numId w:val="4"/>
        </w:numPr>
      </w:pPr>
      <w:r>
        <w:t>Колебания гармонического осциллятора c затуханием и без действий внешней силы.</w:t>
      </w:r>
    </w:p>
    <w:p w14:paraId="14D709DC" w14:textId="77777777" w:rsidR="00314141" w:rsidRDefault="00592E42">
      <w:pPr>
        <w:pStyle w:val="Compact"/>
        <w:numPr>
          <w:ilvl w:val="0"/>
          <w:numId w:val="4"/>
        </w:numPr>
      </w:pPr>
      <w:r>
        <w:t>Колебания гармонического осциллятора c затуханием и под действием внешней силы.</w:t>
      </w:r>
    </w:p>
    <w:p w14:paraId="14D709DD" w14:textId="77777777" w:rsidR="00314141" w:rsidRDefault="00592E42">
      <w:pPr>
        <w:pStyle w:val="1"/>
      </w:pPr>
      <w:bookmarkStart w:id="31" w:name="список-литературы"/>
      <w:bookmarkStart w:id="32" w:name="_Toc96767005"/>
      <w:bookmarkEnd w:id="29"/>
      <w:r>
        <w:t>Список литературы</w:t>
      </w:r>
      <w:bookmarkEnd w:id="32"/>
    </w:p>
    <w:p w14:paraId="14D709DE" w14:textId="77777777" w:rsidR="00314141" w:rsidRDefault="00592E42">
      <w:pPr>
        <w:pStyle w:val="Compact"/>
        <w:numPr>
          <w:ilvl w:val="0"/>
          <w:numId w:val="5"/>
        </w:numPr>
      </w:pPr>
      <w:r>
        <w:t>Методические материалы к ла</w:t>
      </w:r>
      <w:r>
        <w:t>бораторной работе, представленные на сайте “ТУИС РУДН” https://esystem.rudn.ru/</w:t>
      </w:r>
      <w:r>
        <w:br/>
        <w:t>::: {#refs} :::</w:t>
      </w:r>
      <w:bookmarkEnd w:id="31"/>
    </w:p>
    <w:sectPr w:rsidR="0031414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B2435" w14:textId="77777777" w:rsidR="00592E42" w:rsidRDefault="00592E42">
      <w:pPr>
        <w:spacing w:after="0"/>
      </w:pPr>
      <w:r>
        <w:separator/>
      </w:r>
    </w:p>
  </w:endnote>
  <w:endnote w:type="continuationSeparator" w:id="0">
    <w:p w14:paraId="28D0D630" w14:textId="77777777" w:rsidR="00592E42" w:rsidRDefault="00592E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17266" w14:textId="77777777" w:rsidR="00592E42" w:rsidRDefault="00592E42">
      <w:r>
        <w:separator/>
      </w:r>
    </w:p>
  </w:footnote>
  <w:footnote w:type="continuationSeparator" w:id="0">
    <w:p w14:paraId="733CE914" w14:textId="77777777" w:rsidR="00592E42" w:rsidRDefault="00592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7D22E5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3132A3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3185"/>
    <w:rsid w:val="00314141"/>
    <w:rsid w:val="004E29B3"/>
    <w:rsid w:val="00590D07"/>
    <w:rsid w:val="00592E42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709A3"/>
  <w15:docId w15:val="{9883481E-38F3-469A-8A26-4ABD99A7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63185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06318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Исаханян Эдуард Тигранович</dc:creator>
  <cp:keywords/>
  <cp:lastModifiedBy>Эдик Исаханян</cp:lastModifiedBy>
  <cp:revision>2</cp:revision>
  <dcterms:created xsi:type="dcterms:W3CDTF">2022-02-26T08:22:00Z</dcterms:created>
  <dcterms:modified xsi:type="dcterms:W3CDTF">2022-02-26T08:22:00Z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ate">
    <vt:lpwstr>2022 Feb 25th</vt:lpwstr>
  </property>
  <property fmtid="{D5CDD505-2E9C-101B-9397-08002B2CF9AE}" pid="8" name="documentclass">
    <vt:lpwstr>scrreprt</vt:lpwstr>
  </property>
  <property fmtid="{D5CDD505-2E9C-101B-9397-08002B2CF9AE}" pid="9" name="fontsize">
    <vt:lpwstr>12pt</vt:lpwstr>
  </property>
  <property fmtid="{D5CDD505-2E9C-101B-9397-08002B2CF9AE}" pid="10" name="group">
    <vt:lpwstr>NFIbd-01-19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institute">
    <vt:lpwstr>RUDN University, Moscow, Russian Federation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t">
    <vt:lpwstr>True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Модель гармонических колебаний</vt:lpwstr>
  </property>
  <property fmtid="{D5CDD505-2E9C-101B-9397-08002B2CF9AE}" pid="27" name="toc">
    <vt:lpwstr>True</vt:lpwstr>
  </property>
  <property fmtid="{D5CDD505-2E9C-101B-9397-08002B2CF9AE}" pid="28" name="toc-title">
    <vt:lpwstr>Содержание</vt:lpwstr>
  </property>
  <property fmtid="{D5CDD505-2E9C-101B-9397-08002B2CF9AE}" pid="29" name="toc_depth">
    <vt:lpwstr>2</vt:lpwstr>
  </property>
</Properties>
</file>