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March</w:t>
      </w:r>
      <w:r>
        <w:t xml:space="preserve"> </w:t>
      </w:r>
      <w:r>
        <w:t xml:space="preserve">26th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изучить модель эффективности рекламы.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красоты;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рекламной кампании;</w:t>
      </w:r>
    </w:p>
    <w:p>
      <w:pPr>
        <w:numPr>
          <w:ilvl w:val="0"/>
          <w:numId w:val="1001"/>
        </w:numPr>
        <w:pStyle w:val="Compact"/>
      </w:pPr>
      <w:r>
        <w:t xml:space="preserve">Определить в какой момент времени эффективность рекламы будет иметь</w:t>
      </w:r>
      <w:r>
        <w:t xml:space="preserve"> </w:t>
      </w:r>
      <w:r>
        <w:t xml:space="preserve">максимально быстрый рост;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учитывать вклад только платной рекламы;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предположить, что информация о товаре</w:t>
      </w:r>
      <w:r>
        <w:t xml:space="preserve"> </w:t>
      </w:r>
      <w:r>
        <w:t xml:space="preserve">распространятся только путем «сарафанного радио», сравнить оба решения.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rStyle w:val="FootnoteReference"/>
        </w:rPr>
        <w:footnoteReference w:id="21"/>
      </w:r>
    </w:p>
    <w:bookmarkEnd w:id="22"/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Записываем начальные условия: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- количество людей, знающих о товаре в начальный момент времени,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810</m:t>
        </m:r>
      </m:oMath>
      <w:r>
        <w:t xml:space="preserve"> </w:t>
      </w:r>
      <w:r>
        <w:t xml:space="preserve">- максимальное количество людей, которых может заинтересовать товар.(рис. 1)</w:t>
      </w:r>
    </w:p>
    <w:p>
      <w:pPr>
        <w:pStyle w:val="CaptionedFigure"/>
      </w:pPr>
      <w:bookmarkStart w:id="25" w:name="fig:001"/>
      <w:r>
        <w:drawing>
          <wp:inline>
            <wp:extent cx="2896880" cy="806823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3"/>
        </w:numPr>
        <w:pStyle w:val="Compact"/>
      </w:pPr>
      <w:r>
        <w:t xml:space="preserve">Далее прописываем две функции K и P для дольнейших вычислений.(рис. 2)</w:t>
      </w:r>
    </w:p>
    <w:p>
      <w:pPr>
        <w:pStyle w:val="CaptionedFigure"/>
      </w:pPr>
      <w:bookmarkStart w:id="27" w:name="fig:002"/>
      <w:r>
        <w:drawing>
          <wp:inline>
            <wp:extent cx="3342554" cy="2858460"/>
            <wp:effectExtent b="0" l="0" r="0" t="0"/>
            <wp:docPr descr="Figure 2: Функции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Функции</w:t>
      </w:r>
    </w:p>
    <w:p>
      <w:pPr>
        <w:numPr>
          <w:ilvl w:val="0"/>
          <w:numId w:val="1004"/>
        </w:numPr>
        <w:pStyle w:val="Compact"/>
      </w:pPr>
      <w:r>
        <w:t xml:space="preserve">Записсываем дифференциальное уравнение:(рис. 3)</w:t>
      </w:r>
    </w:p>
    <w:p>
      <w:pPr>
        <w:pStyle w:val="CaptionedFigure"/>
      </w:pPr>
      <w:bookmarkStart w:id="29" w:name="fig:003"/>
      <w:r>
        <w:drawing>
          <wp:inline>
            <wp:extent cx="3888121" cy="522514"/>
            <wp:effectExtent b="0" l="0" r="0" t="0"/>
            <wp:docPr descr="Figure 3: ДУ" title="" id="1" name="Picture"/>
            <a:graphic>
              <a:graphicData uri="http://schemas.openxmlformats.org/drawingml/2006/picture">
                <pic:pic>
                  <pic:nvPicPr>
                    <pic:cNvPr descr="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ДУ</w:t>
      </w:r>
    </w:p>
    <w:p>
      <w:pPr>
        <w:numPr>
          <w:ilvl w:val="0"/>
          <w:numId w:val="1005"/>
        </w:numPr>
        <w:pStyle w:val="Compact"/>
      </w:pPr>
      <w:r>
        <w:t xml:space="preserve">Далее строим график распространения рекламы:(рис. 4)</w:t>
      </w:r>
    </w:p>
    <w:p>
      <w:pPr>
        <w:pStyle w:val="CaptionedFigure"/>
      </w:pPr>
      <w:bookmarkStart w:id="31" w:name="fig:004"/>
      <w:r>
        <w:drawing>
          <wp:inline>
            <wp:extent cx="4733364" cy="4433687"/>
            <wp:effectExtent b="0" l="0" r="0" t="0"/>
            <wp:docPr descr="Figure 4: График распространения информации о товаре" title="" id="1" name="Picture"/>
            <a:graphic>
              <a:graphicData uri="http://schemas.openxmlformats.org/drawingml/2006/picture">
                <pic:pic>
                  <pic:nvPicPr>
                    <pic:cNvPr descr="images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График распространения информации о товаре</w:t>
      </w:r>
    </w:p>
    <w:p>
      <w:pPr>
        <w:pStyle w:val="BodyText"/>
      </w:pPr>
      <w:r>
        <w:t xml:space="preserve">Далее делаем то же самое для 2 и 3 случая, только меняем коэффиценты в функциях.</w:t>
      </w:r>
      <w:r>
        <w:br/>
      </w:r>
      <w:r>
        <w:t xml:space="preserve">5. Код второго случая:(рис.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![Функции](images/image3.png){ #fig:005 width=70% }  </w:t>
      </w:r>
    </w:p>
    <w:p>
      <w:pPr>
        <w:numPr>
          <w:ilvl w:val="0"/>
          <w:numId w:val="1006"/>
        </w:numPr>
      </w:pPr>
      <w:r>
        <w:t xml:space="preserve">График 2 случая:(рис. 5)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4710312" cy="4456739"/>
            <wp:effectExtent b="0" l="0" r="0" t="0"/>
            <wp:docPr descr="Figure 5: График распространения информации о товаре" title="" id="1" name="Picture"/>
            <a:graphic>
              <a:graphicData uri="http://schemas.openxmlformats.org/drawingml/2006/picture">
                <pic:pic>
                  <pic:nvPicPr>
                    <pic:cNvPr descr="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5: График распространения информации о товаре</w:t>
      </w:r>
    </w:p>
    <w:p>
      <w:pPr>
        <w:numPr>
          <w:ilvl w:val="0"/>
          <w:numId w:val="1006"/>
        </w:numPr>
      </w:pPr>
      <w:r>
        <w:t xml:space="preserve">Код третьего случая:(рис. 6)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3995697" cy="2981405"/>
            <wp:effectExtent b="0" l="0" r="0" t="0"/>
            <wp:docPr descr="Figure 6: Функции" title="" id="1" name="Picture"/>
            <a:graphic>
              <a:graphicData uri="http://schemas.openxmlformats.org/drawingml/2006/picture">
                <pic:pic>
                  <pic:nvPicPr>
                    <pic:cNvPr descr="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29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6: Функции</w:t>
      </w:r>
    </w:p>
    <w:p>
      <w:pPr>
        <w:numPr>
          <w:ilvl w:val="0"/>
          <w:numId w:val="1006"/>
        </w:numPr>
      </w:pPr>
      <w:r>
        <w:t xml:space="preserve">График 3 случая:(рис. 7)</w:t>
      </w:r>
    </w:p>
    <w:p>
      <w:pPr>
        <w:numPr>
          <w:ilvl w:val="0"/>
          <w:numId w:val="1000"/>
        </w:numPr>
        <w:pStyle w:val="CaptionedFigure"/>
      </w:pPr>
      <w:bookmarkStart w:id="37" w:name="fig:008"/>
      <w:r>
        <w:drawing>
          <wp:inline>
            <wp:extent cx="4779468" cy="4272322"/>
            <wp:effectExtent b="0" l="0" r="0" t="0"/>
            <wp:docPr descr="Figure 7: График распространения информации о товаре" title="" id="1" name="Picture"/>
            <a:graphic>
              <a:graphicData uri="http://schemas.openxmlformats.org/drawingml/2006/picture">
                <pic:pic>
                  <pic:nvPicPr>
                    <pic:cNvPr descr="images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427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7: График распространения информации о товаре</w:t>
      </w:r>
    </w:p>
    <w:p>
      <w:pPr>
        <w:numPr>
          <w:ilvl w:val="0"/>
          <w:numId w:val="1006"/>
        </w:numPr>
      </w:pPr>
      <w:r>
        <w:t xml:space="preserve">Также нам необходимо определить максимальное значение скорости распространения рекламы во 2 случае.(рис. 8)</w:t>
      </w:r>
    </w:p>
    <w:p>
      <w:pPr>
        <w:numPr>
          <w:ilvl w:val="0"/>
          <w:numId w:val="1000"/>
        </w:numPr>
        <w:pStyle w:val="CaptionedFigure"/>
      </w:pPr>
      <w:bookmarkStart w:id="38" w:name="fig:009"/>
      <w:r>
        <w:drawing>
          <wp:inline>
            <wp:extent cx="4710312" cy="4456739"/>
            <wp:effectExtent b="0" l="0" r="0" t="0"/>
            <wp:docPr descr="Figure 8: График распространения информации о товаре" title="" id="1" name="Picture"/>
            <a:graphic>
              <a:graphicData uri="http://schemas.openxmlformats.org/drawingml/2006/picture">
                <pic:pic>
                  <pic:nvPicPr>
                    <pic:cNvPr descr="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8: График распространения информации о товаре</w:t>
      </w:r>
    </w:p>
    <w:p>
      <w:pPr>
        <w:numPr>
          <w:ilvl w:val="0"/>
          <w:numId w:val="1000"/>
        </w:numPr>
      </w:pPr>
      <w:r>
        <w:t xml:space="preserve">По графику видно, что значение графика производной максимально в начальный момент времени t0 = 0.</w:t>
      </w:r>
    </w:p>
    <w:bookmarkEnd w:id="39"/>
    <w:bookmarkStart w:id="45" w:name="ответы-на-вопросы"/>
    <w:p>
      <w:pPr>
        <w:pStyle w:val="Heading1"/>
      </w:pPr>
      <w:r>
        <w:t xml:space="preserve">Ответы на вопросы</w:t>
      </w:r>
    </w:p>
    <w:bookmarkStart w:id="40" w:name="X59fdf31aa3bf0968b7283b30476d0b4924e2946"/>
    <w:p>
      <w:pPr>
        <w:pStyle w:val="Heading3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Демографическая модель</w:t>
      </w:r>
      <w:r>
        <w:br/>
      </w:r>
      <w:r>
        <w:t xml:space="preserve">Скорость роста пропорциональна текущему размеру популяции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исходная численность населения,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— некоторый параметр, определяемый разностью между рождаемостью и смертностью.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время.</w:t>
      </w:r>
    </w:p>
    <w:bookmarkEnd w:id="40"/>
    <w:bookmarkStart w:id="41" w:name="X03650e90140aa34b13c11aaef6789226bf249de"/>
    <w:p>
      <w:pPr>
        <w:pStyle w:val="Heading3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- «равновесный» размер популяции, при котором рождаемость в точности компенсируется смертностью. Размер популяции в такой модели стремится к равновесному значению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, причем такое поведение структурно устойчиво.</w:t>
      </w:r>
      <w:r>
        <w:br/>
      </w:r>
      <w:r>
        <w:t xml:space="preserve">Данное уравнение описывает рождаемость и смертность с учетом роста численности.</w:t>
      </w:r>
    </w:p>
    <w:bookmarkEnd w:id="41"/>
    <w:bookmarkStart w:id="42" w:name="X070e7ba82ac276055c99ce61459166daf3e3ba1"/>
    <w:p>
      <w:pPr>
        <w:pStyle w:val="Heading3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радио.</w:t>
      </w:r>
    </w:p>
    <w:bookmarkEnd w:id="42"/>
    <w:bookmarkStart w:id="43" w:name="Xf2a674bc17c741e474a9624458ad126e933c4c8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x</m:t>
          </m:r>
        </m:oMath>
      </m:oMathPara>
    </w:p>
    <w:bookmarkEnd w:id="43"/>
    <w:bookmarkStart w:id="44" w:name="X8f2a35b844988242f1c181dbf2e4fb3445a7e9b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x</m:t>
          </m:r>
        </m:oMath>
      </m:oMathPara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работы, мы научились строить эффективности рекламы, а также вычислили и сравнили эффективность рекламы для трех случаев.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Исаханян Эдуард Тигранович</dc:creator>
  <dc:language>ru-RU</dc:language>
  <cp:keywords/>
  <dcterms:created xsi:type="dcterms:W3CDTF">2022-03-26T15:08:00Z</dcterms:created>
  <dcterms:modified xsi:type="dcterms:W3CDTF">2022-03-26T15:08:00Z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March 26th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Эффективность рекламы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