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тексте;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функцию шифрования, которая определяет вид шифротекста при известном ключе и</w:t>
      </w:r>
      <w:r>
        <w:t xml:space="preserve"> </w:t>
      </w:r>
      <w:r>
        <w:t xml:space="preserve">известном открытом тексте</w:t>
      </w:r>
      <w:r>
        <w:t xml:space="preserve"> </w:t>
      </w:r>
      <w:r>
        <w:t xml:space="preserve">“</w:t>
      </w:r>
      <w:r>
        <w:t xml:space="preserve">С Новы Годом, друзья!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3" w:name="fig:001"/>
      <w:r>
        <w:drawing>
          <wp:inline>
            <wp:extent cx="5334000" cy="1732312"/>
            <wp:effectExtent b="0" l="0" r="0" t="0"/>
            <wp:docPr descr="Figure 1: 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Функция, шифрующая данные</w:t>
      </w:r>
    </w:p>
    <w:p>
      <w:pPr>
        <w:pStyle w:val="BodyText"/>
      </w:pPr>
      <w:r>
        <w:t xml:space="preserve">А также посмотрим на работу данной функции. (рис. 2)</w:t>
      </w:r>
    </w:p>
    <w:p>
      <w:pPr>
        <w:pStyle w:val="CaptionedFigure"/>
      </w:pPr>
      <w:bookmarkStart w:id="25" w:name="fig:002"/>
      <w:r>
        <w:drawing>
          <wp:inline>
            <wp:extent cx="5334000" cy="663855"/>
            <wp:effectExtent b="0" l="0" r="0" t="0"/>
            <wp:docPr descr="Figure 2: 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работы функции, шифрующей данные</w:t>
      </w:r>
    </w:p>
    <w:p>
      <w:pPr>
        <w:pStyle w:val="BodyText"/>
      </w:pPr>
      <w:r>
        <w:t xml:space="preserve">Напишем функцию дешифровки, которая определяет ключ, с помощью которого</w:t>
      </w:r>
      <w:r>
        <w:t xml:space="preserve"> </w:t>
      </w:r>
      <w:r>
        <w:t xml:space="preserve">шифротекст может быть преобразован в некоторый фрагмент текста, представляющий собой о</w:t>
      </w:r>
      <w:r>
        <w:t xml:space="preserve"> </w:t>
      </w:r>
      <w:r>
        <w:t xml:space="preserve">дин из возможных вариантов прочтения открытого текста. (рис. 3)</w:t>
      </w:r>
    </w:p>
    <w:p>
      <w:pPr>
        <w:pStyle w:val="CaptionedFigure"/>
      </w:pPr>
      <w:bookmarkStart w:id="27" w:name="fig:003"/>
      <w:r>
        <w:drawing>
          <wp:inline>
            <wp:extent cx="5334000" cy="1320221"/>
            <wp:effectExtent b="0" l="0" r="0" t="0"/>
            <wp:docPr descr="Figure 3: 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Функция, дешифрующая данные</w:t>
      </w:r>
    </w:p>
    <w:p>
      <w:pPr>
        <w:pStyle w:val="BodyText"/>
      </w:pPr>
      <w:r>
        <w:t xml:space="preserve">А также посмторим на результаты работы программы. (рис. 4)</w:t>
      </w:r>
    </w:p>
    <w:p>
      <w:pPr>
        <w:pStyle w:val="CaptionedFigure"/>
      </w:pPr>
      <w:bookmarkStart w:id="29" w:name="fig:004"/>
      <w:r>
        <w:drawing>
          <wp:inline>
            <wp:extent cx="5334000" cy="745286"/>
            <wp:effectExtent b="0" l="0" r="0" t="0"/>
            <wp:docPr descr="Figure 4: 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Результат работы функции, шифрующей данные</w:t>
      </w:r>
    </w:p>
    <w:p>
      <w:pPr>
        <w:pStyle w:val="BodyText"/>
      </w:pPr>
      <w:r>
        <w:t xml:space="preserve">Сравнение ключей, полученных с помощью первой и второй функций. (рис. 5)</w:t>
      </w:r>
    </w:p>
    <w:p>
      <w:pPr>
        <w:pStyle w:val="CaptionedFigure"/>
      </w:pPr>
      <w:bookmarkStart w:id="31" w:name="fig:005"/>
      <w:r>
        <w:drawing>
          <wp:inline>
            <wp:extent cx="5334000" cy="926431"/>
            <wp:effectExtent b="0" l="0" r="0" t="0"/>
            <wp:docPr descr="Figure 5: 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Сравнение ключей</w:t>
      </w:r>
    </w:p>
    <w:bookmarkStart w:id="32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  <w:r>
        <w:br/>
      </w: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однократного гаммирования.</w:t>
      </w:r>
      <w:r>
        <w:br/>
      </w: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2"/>
        </w:numPr>
        <w:pStyle w:val="Compact"/>
      </w:pPr>
      <w:r>
        <w:t xml:space="preserve">Перечислите преимущества однократного гаммирования.</w:t>
      </w:r>
      <w:r>
        <w:br/>
      </w: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2"/>
        </w:numPr>
        <w:pStyle w:val="Compact"/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</w:p>
    <w:p>
      <w:pPr>
        <w:numPr>
          <w:ilvl w:val="0"/>
          <w:numId w:val="1002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  <w:r>
        <w:br/>
      </w: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2"/>
        </w:numPr>
        <w:pStyle w:val="Compact"/>
      </w:pPr>
      <w:r>
        <w:t xml:space="preserve">Как по открытому тексту и ключу получить шифротекст?</w:t>
      </w:r>
      <w:r>
        <w:br/>
      </w: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Как по открытому тексту и шифротексту получить ключ?</w:t>
      </w:r>
      <w:r>
        <w:br/>
      </w: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  <w:r>
        <w:br/>
      </w: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Исаханян Эдуард Тигранович</dc:creator>
  <dc:language>ru-RU</dc:language>
  <cp:keywords/>
  <dcterms:created xsi:type="dcterms:W3CDTF">2022-09-21T11:07:32Z</dcterms:created>
  <dcterms:modified xsi:type="dcterms:W3CDTF">2022-09-21T11:07:32Z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21th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Элементы криптографии. Однократное гаммирование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