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t>Compound planner recovery design review</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All-objects visit, look, wave, sit, and final-report seam audit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Prepared by Codex</w:t>
              <w:br/>
              <w:t>17 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Hypothesis registry and probes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Evidence and reopen gate</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t>Executive summary</w:t>
      </w:r>
    </w:p>
    <w:p w14:paraId="00000018">
      <w:pPr>
        <w:rPr/>
      </w:pPr>
      <w:r>
        <w:t>The CRITIC capability-extreme case supplied complete grounded context for three objects and ALEX, but planner admission ended in a structured failure before any skill executed. The requested trajectory was stand, visit and look at each object, wave to ALEX, sit, then issue one final report.</w:t>
      </w:r>
    </w:p>
    <w:p w14:paraId="00000019">
      <w:pPr>
        <w:rPr/>
      </w:pPr>
      <w:r>
        <w:t>A deterministic replay at PlannerEngine.plan_request isolated a retry-policy defect. The engine accepted a fully expanded plan, but denied the final bounded repair when the first repair improved object coverage without reducing the number of validation messages. The correction removes that error-count heuristic while retaining the three-call ceiling and the repeated-output stop. A clean v28 runtime then preserved the full objective, admitted a complete ten-step plan, recovered after the fake skill rejected an invalid wave argument without dropping actions, and produced one truthful final report.</w:t>
      </w:r>
    </w:p>
    <w:bookmarkStart w:colFirst="0" w:colLast="0" w:name="bookmark=id.1sqjewf8afxt" w:id="2"/>
    <w:bookmarkEnd w:id="2"/>
    <w:p w14:paraId="0000001A">
      <w:pPr>
        <w:pStyle w:val="Heading2"/>
        <w:rPr/>
      </w:pPr>
      <w: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b/>
        </w:rPr>
        <w:t xml:space="preserve">Source gate: accepted. </w:t>
      </w:r>
      <w:r>
        <w:t>The regression test changed from red to green, all 63 planner tests passed, and all 70 planner-common tests passed.</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Live gate: accepted on the replacement compatibility backend. The v27 probe exposed an unprojected 10-second intent timeout. After that existing parameter was exposed through the integrated launch, v28 passed both the maximal compound case and the explicit head-motion control.</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b/>
        </w:rPr>
        <w:t xml:space="preserve">Scope: planner-owned. </w:t>
      </w:r>
      <w:r>
        <w:t>No chatbot, prompt-pack, executor, skill-registry, KB, or speech-authority behavior was changed in this round.</w:t>
      </w:r>
    </w:p>
    <w:bookmarkStart w:colFirst="0" w:colLast="0" w:name="bookmark=id.4t4jj91ycfx" w:id="3"/>
    <w:bookmarkEnd w:id="3"/>
    <w:p w14:paraId="0000001E">
      <w:pPr>
        <w:pStyle w:val="Heading2"/>
        <w:rPr/>
      </w:pPr>
      <w:r>
        <w:t>Introduction</w:t>
      </w:r>
    </w:p>
    <w:p w14:paraId="0000001F">
      <w:pPr>
        <w:rPr/>
      </w:pPr>
      <w:r>
        <w:t>The failure appeared after deterministic recovery was hardened to reject a reduced navigation-plus-report plan for a richer objective. That rejection is correct: recovery must not silently drop posture, observation, gesture, or final-report requirements. The remaining question was why model validation did not recover a complete plan within its advertised retry budget.</w:t>
      </w:r>
    </w:p>
    <w:p w14:paraId="00000020">
      <w:pPr>
        <w:rPr/>
      </w:pPr>
      <w:r>
        <w:t>The investigation froze the v26 image, parent and nested-repository dirty state, the exact CRITIC request, and the existing planner contracts. Historical runtime traces were treated as evidence rather than as current contract authority.</w:t>
      </w:r>
    </w:p>
    <w:bookmarkStart w:colFirst="0" w:colLast="0" w:name="bookmark=id.xx7bxdemqiq" w:id="4"/>
    <w:bookmarkEnd w:id="4"/>
    <w:p w14:paraId="00000021">
      <w:pPr>
        <w:pStyle w:val="Heading1"/>
        <w:pageBreakBefore w:val="1"/>
        <w:rPr/>
      </w:pPr>
      <w:r>
        <w:t>Key findings</w:t>
      </w:r>
    </w:p>
    <w:p w14:paraId="00000022">
      <w:pPr>
        <w:rPr/>
      </w:pPr>
      <w:r>
        <w:t>Five materially different causes were considered: incomplete grounded handoff, a validator unable to represent the intended plan, premature retry termination, unsafe deterministic recovery, and downstream execution failure.</w:t>
      </w:r>
    </w:p>
    <w:p w14:paraId="00000023">
      <w:pPr>
        <w:pStyle w:val="Heading2"/>
        <w:rPr/>
      </w:pPr>
      <w:r>
        <w:t>Context and conditions</w:t>
      </w:r>
    </w:p>
    <w:p w14:paraId="00000024">
      <w:pPr>
        <w:rPr/>
      </w:pPr>
      <w:r>
        <w:t>The captured planner request contained the six normalized intents, authoritative member IDs for cup, book, and apple, ALEX as the grounded person, sequential visit ordering, and final-report policy. A synthetic complete plan containing stand, three navigate/look pairs, wave, sit, and report_result passed the public planner seam.</w:t>
      </w:r>
    </w:p>
    <w:p w14:paraId="00000025">
      <w:pPr>
        <w:pStyle w:val="Heading2"/>
        <w:rPr/>
      </w:pPr>
      <w:r>
        <w:t>Patterns in the evidence</w:t>
      </w:r>
    </w:p>
    <w:p w14:paraId="00000026">
      <w:pPr>
        <w:rPr/>
      </w:pPr>
      <w:r>
        <w:t>The retry loop compared sets of full validation strings and allowed a second repair only when the number of distinct errors decreased. Quantified-target repair can improve from one covered object to two while retaining one look-at coverage error. That is meaningful progress, but the old gate stopped before the third response.</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b/>
        </w:rPr>
        <w:t xml:space="preserve">Key takeaway. </w:t>
      </w:r>
      <w:r>
        <w:t>The model was already given two bounded repair opportunities in the loop structure; a private heuristic silently reduced that budget. Removing the heuristic restores the declared policy without admitting invalid plans or adding a fallback.</w:t>
      </w:r>
    </w:p>
    <w:p w14:paraId="00000029">
      <w:pPr>
        <w:pStyle w:val="Heading2"/>
        <w:rPr/>
      </w:pPr>
      <w:r>
        <w:rPr>
          <w:rtl w:val="0"/>
        </w:rPr>
      </w:r>
    </w:p>
    <w:bookmarkStart w:colFirst="0" w:colLast="0" w:name="bookmark=id.suv0vlq0gz4r" w:id="5"/>
    <w:bookmarkEnd w:id="5"/>
    <w:p w14:paraId="0000002A">
      <w:pPr>
        <w:pStyle w:val="Heading2"/>
        <w:rPr/>
      </w:pPr>
      <w:r>
        <w:t>Implications</w:t>
      </w:r>
    </w:p>
    <w:p w14:paraId="0000002B">
      <w:pPr>
        <w:rPr/>
      </w:pPr>
      <w:r>
        <w:t>Planner validation remains authoritative, and deterministic recovery remains restricted to objectives it can preserve completely. The change increases model repair opportunity without increasing the maximum call count. It also avoids prompt mutation, so no SkillOpt wording experiment is required for this source correction.</w:t>
      </w:r>
      <w:r>
        <w:br w:type="page"/>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r>
              <w:t>Theme</w:t>
            </w:r>
          </w:p>
        </w:tc>
        <w:tc>
          <w:tcPr>
            <w:shd w:fill="f2f2f2" w:val="clear"/>
            <w:tcMar>
              <w:top w:w="110.0" w:type="dxa"/>
              <w:bottom w:w="110.0" w:type="dxa"/>
            </w:tcMar>
            <w:vAlign w:val="center"/>
          </w:tcPr>
          <w:p>
            <w:r>
              <w:t>Observation</w:t>
            </w:r>
          </w:p>
        </w:tc>
        <w:tc>
          <w:tcPr>
            <w:shd w:fill="f2f2f2" w:val="clear"/>
            <w:tcMar>
              <w:top w:w="110.0" w:type="dxa"/>
              <w:bottom w:w="110.0" w:type="dxa"/>
            </w:tcMar>
            <w:vAlign w:val="center"/>
          </w:tcPr>
          <w:p>
            <w:r>
              <w:t>Implication</w:t>
            </w:r>
          </w:p>
        </w:tc>
      </w:tr>
      <w:tr>
        <w:trPr>
          <w:cantSplit w:val="0"/>
          <w:tblHeader w:val="0"/>
        </w:trPr>
        <w:tc>
          <w:tcPr>
            <w:shd w:fill="ffffff" w:val="clear"/>
            <w:tcMar>
              <w:top w:w="110.0" w:type="dxa"/>
              <w:bottom w:w="110.0" w:type="dxa"/>
            </w:tcMar>
            <w:vAlign w:val="center"/>
          </w:tcPr>
          <w:p>
            <w:r>
              <w:t>Grounded contract</w:t>
            </w:r>
          </w:p>
        </w:tc>
        <w:tc>
          <w:tcPr>
            <w:shd w:fill="ffffff" w:val="clear"/>
            <w:tcMar>
              <w:top w:w="110.0" w:type="dxa"/>
              <w:bottom w:w="110.0" w:type="dxa"/>
            </w:tcMar>
            <w:vAlign w:val="center"/>
          </w:tcPr>
          <w:p>
            <w:r>
              <w:t>Complete and canonical</w:t>
            </w:r>
          </w:p>
        </w:tc>
        <w:tc>
          <w:tcPr>
            <w:shd w:fill="ffffff" w:val="clear"/>
            <w:tcMar>
              <w:top w:w="110.0" w:type="dxa"/>
              <w:bottom w:w="110.0" w:type="dxa"/>
            </w:tcMar>
            <w:vAlign w:val="center"/>
          </w:tcPr>
          <w:p>
            <w:r>
              <w:t>Not the cause of the captured failure</w:t>
            </w:r>
          </w:p>
        </w:tc>
      </w:tr>
      <w:tr>
        <w:trPr>
          <w:cantSplit w:val="0"/>
          <w:tblHeader w:val="0"/>
        </w:trPr>
        <w:tc>
          <w:tcPr>
            <w:shd w:fill="ffffff" w:val="clear"/>
            <w:tcMar>
              <w:top w:w="110.0" w:type="dxa"/>
              <w:bottom w:w="110.0" w:type="dxa"/>
            </w:tcMar>
            <w:vAlign w:val="center"/>
          </w:tcPr>
          <w:p>
            <w:r>
              <w:t>Plan admission</w:t>
            </w:r>
          </w:p>
        </w:tc>
        <w:tc>
          <w:tcPr>
            <w:shd w:fill="ffffff" w:val="clear"/>
            <w:tcMar>
              <w:top w:w="110.0" w:type="dxa"/>
              <w:bottom w:w="110.0" w:type="dxa"/>
            </w:tcMar>
            <w:vAlign w:val="center"/>
          </w:tcPr>
          <w:p>
            <w:r>
              <w:t>Complete expanded plan accepted</w:t>
            </w:r>
          </w:p>
        </w:tc>
        <w:tc>
          <w:tcPr>
            <w:shd w:fill="ffffff" w:val="clear"/>
            <w:tcMar>
              <w:top w:w="110.0" w:type="dxa"/>
              <w:bottom w:w="110.0" w:type="dxa"/>
            </w:tcMar>
            <w:vAlign w:val="center"/>
          </w:tcPr>
          <w:p>
            <w:r>
              <w:t>Validator can represent the task</w:t>
            </w:r>
          </w:p>
        </w:tc>
      </w:tr>
      <w:tr>
        <w:trPr>
          <w:cantSplit w:val="0"/>
          <w:tblHeader w:val="0"/>
        </w:trPr>
        <w:tc>
          <w:tcPr>
            <w:shd w:fill="ffffff" w:val="clear"/>
            <w:tcMar>
              <w:top w:w="110.0" w:type="dxa"/>
              <w:bottom w:w="110.0" w:type="dxa"/>
            </w:tcMar>
            <w:vAlign w:val="center"/>
          </w:tcPr>
          <w:p>
            <w:r>
              <w:t>Retry policy</w:t>
            </w:r>
          </w:p>
        </w:tc>
        <w:tc>
          <w:tcPr>
            <w:shd w:fill="ffffff" w:val="clear"/>
            <w:tcMar>
              <w:top w:w="110.0" w:type="dxa"/>
              <w:bottom w:w="110.0" w:type="dxa"/>
            </w:tcMar>
            <w:vAlign w:val="center"/>
          </w:tcPr>
          <w:p>
            <w:r>
              <w:t>Partial repair stopped early</w:t>
            </w:r>
          </w:p>
        </w:tc>
        <w:tc>
          <w:tcPr>
            <w:shd w:fill="ffffff" w:val="clear"/>
            <w:tcMar>
              <w:top w:w="110.0" w:type="dxa"/>
              <w:bottom w:w="110.0" w:type="dxa"/>
            </w:tcMar>
            <w:vAlign w:val="center"/>
          </w:tcPr>
          <w:p>
            <w:r>
              <w:t>Confirmed owning defect</w:t>
            </w:r>
          </w:p>
        </w:tc>
      </w:tr>
      <w:tr>
        <w:tc>
          <w:tcPr>
            <w:tcW w:type="dxa" w:w="1800"/>
          </w:tcPr>
          <w:p>
            <w:r>
              <w:t>Runtime backend</w:t>
            </w:r>
          </w:p>
        </w:tc>
        <w:tc>
          <w:tcPr>
            <w:tcW w:type="dxa" w:w="3300"/>
          </w:tcPr>
          <w:p>
            <w:r>
              <w:t>Prescribed Qwen cloud model returned HTTP 410</w:t>
            </w:r>
          </w:p>
        </w:tc>
        <w:tc>
          <w:tcPr>
            <w:tcW w:type="dxa" w:w="4020"/>
          </w:tcPr>
          <w:p>
            <w:r>
              <w:t>Replacement-backend gate passed; production route remains unqualified</w:t>
            </w:r>
          </w:p>
        </w:tc>
      </w:tr>
    </w:tbl>
    <w:bookmarkStart w:colFirst="0" w:colLast="0" w:name="bookmark=id.vvr4bduzzdc0" w:id="6"/>
    <w:bookmarkEnd w:id="6"/>
    <w:p w14:paraId="00000038">
      <w:pPr>
        <w:pStyle w:val="Heading1"/>
        <w:pageBreakBefore w:val="1"/>
        <w:rPr/>
      </w:pPr>
      <w:r>
        <w:t>Recommendations</w:t>
      </w:r>
    </w:p>
    <w:p w14:paraId="00000039">
      <w:pPr>
        <w:rPr/>
      </w:pPr>
      <w:r>
        <w:t>Accept the retry-policy correction and the launch-time intent timeout projection. Keep image promotion separate from this investigation because the accepted live probe used a temporary Codex compatibility adapter, not the prescribed Qwen/Ollama production backend.</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 xml:space="preserve">Restore an authorized model. </w:t>
      </w:r>
      <w:r>
        <w:t>Use the lab vLLM model when service returns, or update the Ollama profile to a model the account can access. Do not score a stack that failed required preflight.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 xml:space="preserve">Rebuild once. </w:t>
      </w:r>
      <w:r>
        <w:t>Build one clean overlay from the intended base, verify source hashes and node uniqueness, and avoid hot-copying planner code into a running container.</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 xml:space="preserve">Run the acceptance ladder. </w:t>
      </w:r>
      <w:r>
        <w:t>Execute the exact all-objects case, a repeated-invalid-output control, and an adversarial paraphrase before widening to the capability-extreme suite.</w:t>
      </w:r>
    </w:p>
    <w:bookmarkStart w:colFirst="0" w:colLast="0" w:name="bookmark=id.rl3o3rp5qmnq" w:id="7"/>
    <w:bookmarkEnd w:id="7"/>
    <w:p w14:paraId="0000003D">
      <w:pPr>
        <w:pStyle w:val="Heading2"/>
        <w:rPr/>
      </w:pPr>
      <w:r>
        <w:t>Conclusion</w:t>
      </w:r>
    </w:p>
    <w:p w14:paraId="0000003E">
      <w:pPr>
        <w:rPr/>
      </w:pPr>
      <w:r>
        <w:t>The unresolved capability case was not evidence that deterministic recovery should become more permissive. The safe repair is to let planner_llm use its full bounded validation budget and continue rejecting incomplete plans.</w:t>
      </w:r>
    </w:p>
    <w:p w14:paraId="0000003F">
      <w:pPr>
        <w:rPr/>
      </w:pPr>
      <w:r>
        <w:t>Source and live evidence now agree. The maximal trajectory and the explicit head-motion control passed on v28. Production-backend qualification remains separate because the prescribed Qwen cloud model was retired.</w:t>
      </w:r>
    </w:p>
    <w:bookmarkStart w:colFirst="0" w:colLast="0" w:name="bookmark=id.cf45595vup8a" w:id="8"/>
    <w:bookmarkEnd w:id="8"/>
    <w:p w14:paraId="00000040">
      <w:pPr>
        <w:pStyle w:val="Heading1"/>
        <w:pageBreakBefore w:val="1"/>
        <w:rPr/>
      </w:pPr>
      <w:r>
        <w:t>Appendix</w:t>
      </w:r>
    </w:p>
    <w:bookmarkStart w:colFirst="0" w:colLast="0" w:name="bookmark=id.ptrg31dozyqs" w:id="9"/>
    <w:bookmarkEnd w:id="9"/>
    <w:p w14:paraId="00000041">
      <w:pPr>
        <w:pStyle w:val="Heading2"/>
        <w:rPr/>
      </w:pPr>
      <w:r>
        <w:t>Hypothesis registry and probes</w:t>
      </w:r>
    </w:p>
    <w:p w14:paraId="00000042">
      <w:pPr>
        <w:rPr/>
      </w:pPr>
      <w:r>
        <w:t>H1 grounded handoff loss: rejected by the captured normalized intents and target selection. H2 validator representation failure: rejected by the accepted complete plan. H3 premature retry termination: accepted by the red-green replay. H4 unsafe target-selection recovery: rejected as the cause and retained as a protected guard. H5 executor failure: rejected because no executable plan was admitted.</w:t>
      </w:r>
    </w:p>
    <w:p w14:paraId="00000043">
      <w:pPr>
        <w:rPr/>
      </w:pPr>
      <w:r>
        <w:t>Adversarial audit: planner_llm remains the planning owner; no executable behavior moved to chatbot_llm or nao_orchestrator; no speech authority, KB fact, perception claim, action result, or completion was fabricated; lineage and ROS interfaces are unchanged; identical invalid output still terminates repair early.</w:t>
      </w:r>
    </w:p>
    <w:bookmarkStart w:colFirst="0" w:colLast="0" w:name="bookmark=id.nnk1eebni0ji" w:id="10"/>
    <w:bookmarkEnd w:id="10"/>
    <w:p w14:paraId="00000044">
      <w:pPr>
        <w:pStyle w:val="Heading2"/>
        <w:rPr/>
      </w:pPr>
      <w:r>
        <w:t>Evidence and acceptance gate</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Runtime baseline: docs/artifacts/runtime_v22_critic_hardening/capability_extreme_v25.json.</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Source tests: planner_llm/test/test_planner_engine.py, including test_planner_allows_second_validation_retry_after_partial_target_coverage.</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Backend ablation: qwen3-coder:480b-cloud and qwen3-vl:235b-cloud returned HTTP 410. Qwen3 4B Instruct exceeded eight minutes during repair. Qwen3 1.7B, Qwen3.5 2B, and Qwen2.5 3B Instruct failed the real planner schema in 272 to 421 seconds. Generic JSON and JSON Schema constrained decoding did not repair semantic selection.</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Runtime acceptance evidence: v27 failed before planning because the intent client retained its hidden 10-second default. In v28, both required preflights passed, the live intent timeout was 180 seconds, all three selected objects were visited and observed, recovery preserved wave and sit, and the chatbot-owned report named ATLAS, MIDAS, TITAS, and ALEX.</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t>Decision. Accept the source correction and close the exact runtime gate on v28. Do not promote the temporary compatibility backend as the canonical Qwen/Ollama deployment. Unsupported optional planner arguments remain a separate admission audit.</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Compound planner recovery</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17 July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Compound planner recovery design review</dc:title>
  <cp:lastModifiedBy>python-docx</cp:lastModifiedBy>
  <cp:revision>1</cp:revision>
  <dcterms:modified xsi:type="dcterms:W3CDTF">2026-07-17T13:02:44Z</dcterms:modified>
  <dc:subject>ROS4HRI compound-task planner seam audit</dc:subject>
  <dc:creator>Codex</dc:creator>
</cp:coreProperties>
</file>