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Fonts w:ascii="Helvetica Neue" w:hAnsi="Helvetica Neue"/>
        </w:rPr>
        <w:t>Model-Agnostic NAO ROS4HRI Runtime Qualification</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vAlign w:val="center"/>
          </w:tcPr>
          <w:p>
            <w:pPr>
              <w:spacing w:after="40"/>
            </w:pPr>
            <w:r/>
            <w:r>
              <w:rPr>
                <w:rFonts w:ascii="Helvetica Neue" w:hAnsi="Helvetica Neue"/>
                <w:b w:val="0"/>
                <w:sz w:val="20"/>
              </w:rPr>
              <w:t>Runtime evidence, model variance, and fallback qualification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vAlign w:val="center"/>
          </w:tcPr>
          <w:p>
            <w:pPr>
              <w:spacing w:after="40"/>
            </w:pPr>
            <w:r/>
            <w:r>
              <w:rPr>
                <w:rFonts w:ascii="Helvetica Neue" w:hAnsi="Helvetica Neue"/>
                <w:b w:val="0"/>
                <w:sz w:val="18"/>
              </w:rPr>
              <w:t>Prepared for TFM review</w:t>
              <w:br/>
              <w:t>20 July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6"/>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Fonts w:ascii="Helvetica Neue" w:hAnsi="Helvetica Neue"/>
        </w:rPr>
        <w:t>Executive summary | Introduction | Key findings | Context and conditions | Patterns in the evidence | Implications | Recommendations | Conclusion | Appendix</w:t>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Fonts w:ascii="Helvetica Neue" w:hAnsi="Helvetica Neue"/>
        </w:rPr>
        <w:t>The frozen v34 NAO ROS4HRI stack reached a qualified runtime score of 8.4/10 with QuantTrio/Qwen3-VL-30B-A3B-Instruct-AWQ. The result is evidence about a stack configuration under a fixed model and endpoint, not a universal property of every language model. The review separated deterministic contract tests from live ROS runtime cases and from repeated model-sensitive cases.</w:t>
      </w:r>
    </w:p>
    <w:p w14:paraId="00000019">
      <w:pPr>
        <w:rPr/>
      </w:pPr>
      <w:r>
        <w:rPr>
          <w:rFonts w:ascii="Helvetica Neue" w:hAnsi="Helvetica Neue"/>
        </w:rPr>
        <w:t>Across the consolidated dataset, 108 questionnaire cases were retained from 33 JSON artifacts. The v34 campaign showed strong dialogue, grounding, KnowledgeCore, planner admission, fake-skill, and recovery behavior. Remaining failures were concentrated in model-authored target selection, maximal capability coverage, missing-recipient wording, and terminal closure. The current vLLM endpoint became unreachable, so the live demonstration was moved to gemma4:31b-cloud through Ollama. That fallback passed preflight and a speech smoke turn, but it is not presented as a replacement qualification.</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Qualified primary: 8.4/10 on the v34 frozen response-first campaign.</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Evidence volume: 108 case records, 33 source JSON artifacts, plus HTML and Markdown reports.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Current demo: gemma4:31b-cloud, selected after vLLM became unreachable and Ollama probes passed.</w:t>
      </w:r>
    </w:p>
    <w:bookmarkStart w:colFirst="0" w:colLast="0" w:name="bookmark=id.4t4jj91ycfx" w:id="3"/>
    <w:bookmarkEnd w:id="3"/>
    <w:p w14:paraId="0000001E">
      <w:pPr>
        <w:pStyle w:val="Heading2"/>
        <w:rPr/>
      </w:pPr>
      <w:r>
        <w:rPr>
          <w:rtl w:val="0"/>
        </w:rPr>
        <w:t xml:space="preserve">Introduction</w:t>
      </w:r>
    </w:p>
    <w:p w14:paraId="0000001F">
      <w:pPr>
        <w:rPr/>
      </w:pPr>
      <w:r>
        <w:rPr>
          <w:rFonts w:ascii="Helvetica Neue" w:hAnsi="Helvetica Neue"/>
        </w:rPr>
        <w:t>The stack is model-agnostic at the contract boundary, while generated route, target, and plan content remains model-dependent. A defensible evaluation therefore keeps ownership seams fixed and varies the model as an experimental factor. The evidence pack preserves raw artifacts, runtime metadata, speech observations, structured traces, and the assessment applied to each case.</w:t>
      </w:r>
    </w:p>
    <w:p w14:paraId="00000020">
      <w:pPr>
        <w:rPr/>
      </w:pPr>
      <w:r>
        <w:rPr>
          <w:rFonts w:ascii="Helvetica Neue" w:hAnsi="Helvetica Neue"/>
        </w:rPr>
        <w:t>The analysis treats model variance and stack coherence as related but distinct questions. A malformed intent or incomplete universal selection is attributed to model or backend variance when the deterministic owner and grounded evidence remain valid. A fabricated effect, duplicate goal, or contract violation remains a stack failure regardless of model. Backend reachability is reported as a runtime dependency condition.</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Fonts w:ascii="Helvetica Neue" w:hAnsi="Helvetica Neue"/>
        </w:rPr>
        <w:t>The evidence supports a qualified primary model and a stable stack contract with bounded residual variance. The strongest results came from explicit grounded context, deterministic executor admission, AB=1 effect evidence, and structured trace correlation. The weakest results occurred when a model had to cover many requested actions, preserve every target through a composite plan, or produce closure wording after a failure or clarification.</w:t>
      </w:r>
    </w:p>
    <w:p w14:paraId="00000023">
      <w:pPr>
        <w:pStyle w:val="Heading2"/>
        <w:rPr/>
      </w:pPr>
      <w:r>
        <w:rPr>
          <w:rtl w:val="0"/>
        </w:rPr>
        <w:t xml:space="preserve">Context and conditions</w:t>
      </w:r>
    </w:p>
    <w:p w14:paraId="00000024">
      <w:pPr>
        <w:rPr/>
      </w:pPr>
      <w:r>
        <w:rPr>
          <w:rFonts w:ascii="Helvetica Neue" w:hAnsi="Helvetica Neue"/>
        </w:rPr>
        <w:t>The v34 runtime tuple held the container image, launch wiring, prompt packs, sampling parameters, token budgets, timeout values, KnowledgeCore fixtures, fake-skill policies, and questionnaire cases constant. The active vLLM identity was proven during the primary campaign. Later endpoint checks showed a different advertised vLLM model and then no route to port 8004. This temporal drift is why endpoint inventory and named completion probes are part of the operational evidence.</w:t>
      </w:r>
    </w:p>
    <w:p w14:paraId="00000025">
      <w:pPr>
        <w:pStyle w:val="Heading2"/>
        <w:rPr/>
      </w:pPr>
      <w:r>
        <w:rPr>
          <w:rtl w:val="0"/>
        </w:rPr>
        <w:t xml:space="preserve">Patterns in the evidence</w:t>
      </w:r>
    </w:p>
    <w:p w14:paraId="00000026">
      <w:pPr>
        <w:rPr/>
      </w:pPr>
      <w:r>
        <w:rPr>
          <w:rFonts w:ascii="Helvetica Neue" w:hAnsi="Helvetica Neue"/>
        </w:rPr>
        <w:t>The model transition pattern is consistent across the raw cases. Ordinary dialogue, grounded state queries, and short skill requests are more stable than maximal multi-intent plans. Repeated robustness cases exposed incomplete universal selections and one dropped report policy without allowing fabricated execution to cross the orchestrator. The same stack can therefore remain coherent while model output quality varies at the planning boundary.</w:t>
      </w:r>
    </w:p>
    <w:p w14:paraId="00000027">
      <w:pPr>
        <w:rPr/>
      </w:pPr>
      <w:r>
        <w:rPr>
          <w:rFonts w:ascii="Helvetica Neue" w:hAnsi="Helvetica Neue"/>
        </w:rPr>
        <w:t>The current fallback path confirms availability rather than semantic equivalence. Gemma4:31b-cloud passed Ollama liveness, chatbot preflight, planner preflight, and one simple dialogue smoke case. The NAOqi connection timed out independently because the robot endpoint was unreachable. That condition is retained as a network limitation and is not conflated with model behavior.</w:t>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hAnsi="Helvetica Neue"/>
        </w:rPr>
        <w:t>Key takeaway. Stack-level claims should be made from invariant owners, grounded evidence, execution lineage, and truthful speech. Model-level claims require a frozen repeated campaign. The evidence supports both statements without collapsing them into one score.</w:t>
      </w:r>
    </w:p>
    <w:p w14:paraId="00000029">
      <w:pPr>
        <w:pStyle w:val="Heading2"/>
        <w:rPr/>
      </w:pPr>
      <w:r>
        <w:rPr>
          <w:rFonts w:ascii="Helvetica Neue" w:hAnsi="Helvetica Neue"/>
        </w:rPr>
        <w:t>Attribution framework</w:t>
      </w:r>
    </w:p>
    <w:bookmarkStart w:colFirst="0" w:colLast="0" w:name="bookmark=id.suv0vlq0gz4r" w:id="5"/>
    <w:bookmarkEnd w:id="5"/>
    <w:p w14:paraId="0000002A">
      <w:pPr>
        <w:pStyle w:val="Heading2"/>
        <w:rPr/>
      </w:pPr>
      <w:r>
        <w:rPr>
          <w:rFonts w:ascii="Helvetica Neue" w:hAnsi="Helvetica Neue"/>
        </w:rPr>
        <w:t>Implications</w:t>
      </w:r>
    </w:p>
    <w:p w14:paraId="0000002B">
      <w:pPr>
        <w:rPr/>
      </w:pPr>
      <w:r>
        <w:rPr>
          <w:rFonts w:ascii="Helvetica Neue" w:hAnsi="Helvetica Neue"/>
        </w:rPr>
        <w:t>The dataset labels successful coherent cases, model or backend variance, runtime dependency failures, and harness observability gaps separately. These labels are interpretive summaries anchored to raw artifacts. They are useful for thesis writing because they identify which results can support a stack conclusion and which results require model-specific qualification.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D9E2F3" w:val="clear"/>
            <w:tcMar>
              <w:top w:w="110.0" w:type="dxa"/>
              <w:bottom w:w="110.0" w:type="dxa"/>
            </w:tcMar>
            <w:vAlign w:val="center"/>
          </w:tcPr>
          <w:p>
            <w:pPr>
              <w:spacing w:after="40"/>
            </w:pPr>
            <w:r/>
            <w:r>
              <w:rPr>
                <w:rFonts w:ascii="Helvetica Neue" w:hAnsi="Helvetica Neue"/>
                <w:b/>
                <w:sz w:val="17"/>
              </w:rPr>
              <w:t>Theme</w:t>
            </w:r>
          </w:p>
        </w:tc>
        <w:tc>
          <w:tcPr>
            <w:shd w:fill="D9E2F3" w:val="clear"/>
            <w:tcMar>
              <w:top w:w="110.0" w:type="dxa"/>
              <w:bottom w:w="110.0" w:type="dxa"/>
            </w:tcMar>
            <w:vAlign w:val="center"/>
          </w:tcPr>
          <w:p>
            <w:pPr>
              <w:spacing w:after="40"/>
            </w:pPr>
            <w:r/>
            <w:r>
              <w:rPr>
                <w:rFonts w:ascii="Helvetica Neue" w:hAnsi="Helvetica Neue"/>
                <w:b/>
                <w:sz w:val="17"/>
              </w:rPr>
              <w:t>Observation</w:t>
            </w:r>
          </w:p>
        </w:tc>
        <w:tc>
          <w:tcPr>
            <w:shd w:fill="D9E2F3" w:val="clear"/>
            <w:tcMar>
              <w:top w:w="110.0" w:type="dxa"/>
              <w:bottom w:w="110.0" w:type="dxa"/>
            </w:tcMar>
            <w:vAlign w:val="center"/>
          </w:tcPr>
          <w:p>
            <w:pPr>
              <w:spacing w:after="40"/>
            </w:pPr>
            <w:r/>
            <w:r>
              <w:rPr>
                <w:rFonts w:ascii="Helvetica Neue" w:hAnsi="Helvetica Neue"/>
                <w:b/>
                <w:sz w:val="17"/>
              </w:rPr>
              <w:t>Implication</w:t>
            </w:r>
          </w:p>
        </w:tc>
      </w:tr>
      <w:tr>
        <w:trPr>
          <w:cantSplit w:val="0"/>
          <w:tblHeader w:val="0"/>
        </w:trPr>
        <w:tc>
          <w:tcPr>
            <w:shd w:fill="ffffff" w:val="clear"/>
            <w:tcMar>
              <w:top w:w="110.0" w:type="dxa"/>
              <w:bottom w:w="110.0" w:type="dxa"/>
            </w:tcMar>
            <w:vAlign w:val="center"/>
          </w:tcPr>
          <w:p>
            <w:pPr>
              <w:spacing w:after="40"/>
            </w:pPr>
            <w:r/>
            <w:r>
              <w:rPr>
                <w:rFonts w:ascii="Helvetica Neue" w:hAnsi="Helvetica Neue"/>
                <w:b w:val="0"/>
                <w:sz w:val="16"/>
              </w:rPr>
              <w:t>Qualification</w:t>
            </w:r>
          </w:p>
        </w:tc>
        <w:tc>
          <w:tcPr>
            <w:shd w:fill="ffffff" w:val="clear"/>
            <w:tcMar>
              <w:top w:w="110.0" w:type="dxa"/>
              <w:bottom w:w="110.0" w:type="dxa"/>
            </w:tcMar>
            <w:vAlign w:val="center"/>
          </w:tcPr>
          <w:p>
            <w:pPr>
              <w:spacing w:after="40"/>
            </w:pPr>
            <w:r/>
            <w:r>
              <w:rPr>
                <w:rFonts w:ascii="Helvetica Neue" w:hAnsi="Helvetica Neue"/>
                <w:b w:val="0"/>
                <w:sz w:val="16"/>
              </w:rPr>
              <w:t>v34 Qwen3-VL runtime score 8.4/10</w:t>
            </w:r>
          </w:p>
        </w:tc>
        <w:tc>
          <w:tcPr>
            <w:shd w:fill="ffffff" w:val="clear"/>
            <w:tcMar>
              <w:top w:w="110.0" w:type="dxa"/>
              <w:bottom w:w="110.0" w:type="dxa"/>
            </w:tcMar>
            <w:vAlign w:val="center"/>
          </w:tcPr>
          <w:p>
            <w:pPr>
              <w:spacing w:after="40"/>
            </w:pPr>
            <w:r/>
            <w:r>
              <w:rPr>
                <w:rFonts w:ascii="Helvetica Neue" w:hAnsi="Helvetica Neue"/>
                <w:b w:val="0"/>
                <w:sz w:val="16"/>
              </w:rPr>
              <w:t>Qualified primary with bounded model variance</w:t>
            </w:r>
          </w:p>
        </w:tc>
      </w:tr>
      <w:tr>
        <w:trPr>
          <w:cantSplit w:val="0"/>
          <w:tblHeader w:val="0"/>
        </w:trPr>
        <w:tc>
          <w:tcPr>
            <w:shd w:fill="ffffff" w:val="clear"/>
            <w:tcMar>
              <w:top w:w="110.0" w:type="dxa"/>
              <w:bottom w:w="110.0" w:type="dxa"/>
            </w:tcMar>
            <w:vAlign w:val="center"/>
          </w:tcPr>
          <w:p>
            <w:pPr>
              <w:spacing w:after="40"/>
            </w:pPr>
            <w:r/>
            <w:r>
              <w:rPr>
                <w:rFonts w:ascii="Helvetica Neue" w:hAnsi="Helvetica Neue"/>
                <w:b w:val="0"/>
                <w:sz w:val="16"/>
              </w:rPr>
              <w:t>Dataset</w:t>
            </w:r>
          </w:p>
        </w:tc>
        <w:tc>
          <w:tcPr>
            <w:shd w:fill="ffffff" w:val="clear"/>
            <w:tcMar>
              <w:top w:w="110.0" w:type="dxa"/>
              <w:bottom w:w="110.0" w:type="dxa"/>
            </w:tcMar>
            <w:vAlign w:val="center"/>
          </w:tcPr>
          <w:p>
            <w:pPr>
              <w:spacing w:after="40"/>
            </w:pPr>
            <w:r/>
            <w:r>
              <w:rPr>
                <w:rFonts w:ascii="Helvetica Neue" w:hAnsi="Helvetica Neue"/>
                <w:b w:val="0"/>
                <w:sz w:val="16"/>
              </w:rPr>
              <w:t>108 cases from 33 JSON artifacts</w:t>
            </w:r>
          </w:p>
        </w:tc>
        <w:tc>
          <w:tcPr>
            <w:shd w:fill="ffffff" w:val="clear"/>
            <w:tcMar>
              <w:top w:w="110.0" w:type="dxa"/>
              <w:bottom w:w="110.0" w:type="dxa"/>
            </w:tcMar>
            <w:vAlign w:val="center"/>
          </w:tcPr>
          <w:p>
            <w:pPr>
              <w:spacing w:after="40"/>
            </w:pPr>
            <w:r/>
            <w:r>
              <w:rPr>
                <w:rFonts w:ascii="Helvetica Neue" w:hAnsi="Helvetica Neue"/>
                <w:b w:val="0"/>
                <w:sz w:val="16"/>
              </w:rPr>
              <w:t>Raw provenance retained for thesis review</w:t>
            </w:r>
          </w:p>
        </w:tc>
      </w:tr>
      <w:tr>
        <w:trPr>
          <w:cantSplit w:val="0"/>
          <w:tblHeader w:val="0"/>
        </w:trPr>
        <w:tc>
          <w:tcPr>
            <w:shd w:fill="ffffff" w:val="clear"/>
            <w:tcMar>
              <w:top w:w="110.0" w:type="dxa"/>
              <w:bottom w:w="110.0" w:type="dxa"/>
            </w:tcMar>
            <w:vAlign w:val="center"/>
          </w:tcPr>
          <w:p>
            <w:pPr>
              <w:spacing w:after="40"/>
            </w:pPr>
            <w:r/>
            <w:r>
              <w:rPr>
                <w:rFonts w:ascii="Helvetica Neue" w:hAnsi="Helvetica Neue"/>
                <w:b w:val="0"/>
                <w:sz w:val="16"/>
              </w:rPr>
              <w:t>Availability</w:t>
            </w:r>
          </w:p>
        </w:tc>
        <w:tc>
          <w:tcPr>
            <w:shd w:fill="ffffff" w:val="clear"/>
            <w:tcMar>
              <w:top w:w="110.0" w:type="dxa"/>
              <w:bottom w:w="110.0" w:type="dxa"/>
            </w:tcMar>
            <w:vAlign w:val="center"/>
          </w:tcPr>
          <w:p>
            <w:pPr>
              <w:spacing w:after="40"/>
            </w:pPr>
            <w:r/>
            <w:r>
              <w:rPr>
                <w:rFonts w:ascii="Helvetica Neue" w:hAnsi="Helvetica Neue"/>
                <w:b w:val="0"/>
                <w:sz w:val="16"/>
              </w:rPr>
              <w:t>vLLM unreachable at the final live check</w:t>
            </w:r>
          </w:p>
        </w:tc>
        <w:tc>
          <w:tcPr>
            <w:shd w:fill="ffffff" w:val="clear"/>
            <w:tcMar>
              <w:top w:w="110.0" w:type="dxa"/>
              <w:bottom w:w="110.0" w:type="dxa"/>
            </w:tcMar>
            <w:vAlign w:val="center"/>
          </w:tcPr>
          <w:p>
            <w:pPr>
              <w:spacing w:after="40"/>
            </w:pPr>
            <w:r/>
            <w:r>
              <w:rPr>
                <w:rFonts w:ascii="Helvetica Neue" w:hAnsi="Helvetica Neue"/>
                <w:b w:val="0"/>
                <w:sz w:val="16"/>
              </w:rPr>
              <w:t>Ollama fallback selected after probes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Fonts w:ascii="Helvetica Neue" w:hAnsi="Helvetica Neue"/>
        </w:rPr>
        <w:t>The recommended demonstration policy is operationally conservative: query and probe the preferred vLLM endpoint first, then use a tested Ollama candidate if the preferred backend cannot pass readiness. Pin the result for the run. Record the fallback event with the unavailable model, replacement model, backend, timestamp, and reason. Requalify a replacement only through the frozen runtime campaign.</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rPr>
        <w:t>Preserve the model-independent contract. Keep chatbot dialogue ownership, planner normalization, orchestrator admission, KnowledgeCore transport, scene grounding, and AB=1 effect evidence unchanged while comparing models.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rPr>
        <w:t>Separate availability from quality. Inventory endpoints and run small non-thinking probes before launch, but do not interpret HTTP success as evidence of target-selection or multi-step planning quality.</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rPr>
        <w:t>Repeat the sensitive cases. Re-run missing-recipient clarification, universal target selection, grouped delivery closure, maximal capability coverage, and fail-once recovery at least three times for each candidate.</w:t>
      </w:r>
    </w:p>
    <w:bookmarkStart w:colFirst="0" w:colLast="0" w:name="bookmark=id.rl3o3rp5qmnq" w:id="7"/>
    <w:bookmarkEnd w:id="7"/>
    <w:p w14:paraId="0000003D">
      <w:pPr>
        <w:pStyle w:val="Heading2"/>
        <w:rPr/>
      </w:pPr>
      <w:r>
        <w:rPr>
          <w:rtl w:val="0"/>
        </w:rPr>
        <w:t xml:space="preserve">Conclusion</w:t>
      </w:r>
    </w:p>
    <w:p w14:paraId="0000003E">
      <w:pPr>
        <w:rPr/>
      </w:pPr>
      <w:r>
        <w:rPr>
          <w:rFonts w:ascii="Helvetica Neue" w:hAnsi="Helvetica Neue"/>
        </w:rPr>
        <w:t>The v34 frozen run is suitable as the primary stack qualification with explicit model scope. It demonstrates that the surrounding ROS4HRI architecture can preserve grounding, execution truth, and recovery boundaries under substantial runtime testing. The evidence also shows why a model replacement cannot be accepted from a single successful conversation or endpoint probe.</w:t>
      </w:r>
    </w:p>
    <w:p w14:paraId="0000003F">
      <w:pPr>
        <w:rPr/>
      </w:pPr>
      <w:r>
        <w:rPr>
          <w:rFonts w:ascii="Helvetica Neue" w:hAnsi="Helvetica Neue"/>
        </w:rPr>
        <w:t>The operational selector closes the immediate availability seam while preserving scientific interpretation. It gives the demo a visible, pinned fallback and leaves the thesis result honest: Qwen3-VL is the qualified primary, gemma4:31b-cloud is the current live fallback, and all other reserve models remain candidates until re-evaluated.</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Fonts w:ascii="Helvetica Neue" w:hAnsi="Helvetica Neue"/>
        </w:rPr>
        <w:t>Test semantics. Deterministic unit and source tests establish parser, contract, registry, and ownership behavior. Live questionnaire cases exercise the running ROS graph, endpoint, KnowledgeCore, fake skills, speech, and trace seams. The two categories must not be added together and described as one stress score.</w:t>
      </w:r>
    </w:p>
    <w:p w14:paraId="00000043">
      <w:pPr>
        <w:rPr/>
      </w:pPr>
      <w:r>
        <w:rPr>
          <w:rFonts w:ascii="Helvetica Neue" w:hAnsi="Helvetica Neue"/>
        </w:rPr>
        <w:t>The 108-case dataset is a provenance index over retained artifacts, not a new benchmark. Case rows link back to source files, while the raw JSON remains authoritative for wording, targets, lineage, and timing. The current fallback has a much smaller qualification scope than the v34 primary.</w:t>
      </w:r>
    </w:p>
    <w:bookmarkStart w:colFirst="0" w:colLast="0" w:name="bookmark=id.nnk1eebni0ji" w:id="10"/>
    <w:bookmarkEnd w:id="10"/>
    <w:p w14:paraId="00000044">
      <w:pPr>
        <w:pStyle w:val="Heading2"/>
        <w:rPr/>
      </w:pPr>
      <w:r>
        <w:rPr>
          <w:rtl w:val="0"/>
        </w:rPr>
        <w:t xml:space="preserve">Source placeholders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NAO ROS4HRI runtime artifacts. Frozen v34 review, ablations, historical endpoint runs, and current fallback smoke evidence. Local project evidence pack, 20 July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Robot runtime performance review. REPORT.md and REPORT.html for iiia:nao-runtime-v34-final-frozen-review. Local project artifact, 20 July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Model-agnostic questionnaire dataset. dataset.csv, dataset.jsonl, and dataset_summary.json. Generated from retained runtime artifacts, 20 July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Operational backend probe. backend_probe_2026-07-20.md and current Ollama launch artifacts. Local runtime evidence, 20 July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hAnsi="Helvetica Neue"/>
        </w:rPr>
        <w:t>Template note. This report preserves the retained design-report visual system. Page flow and rendered pages were checked after generation; raw evidence remains in the accompanying ZIP.</w:t>
      </w:r>
    </w:p>
    <w:p>
      <w:r>
        <w:br w:type="page"/>
      </w:r>
    </w:p>
    <w:p>
      <w:pPr>
        <w:pStyle w:val="Heading1"/>
      </w:pPr>
      <w:r>
        <w:t>Detailed evidence tables</w:t>
      </w:r>
    </w:p>
    <w:p>
      <w:r>
        <w:t>The following tables provide the compact quantitative view used for thesis review. They are summaries of the retained files and should be read with the raw artifact links in the ZIP.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shd w:fill="D9E2F3"/>
          </w:tcPr>
          <w:p>
            <w:pPr>
              <w:spacing w:after="40"/>
            </w:pPr>
            <w:r/>
            <w:r>
              <w:rPr>
                <w:rFonts w:ascii="Helvetica Neue" w:hAnsi="Helvetica Neue"/>
                <w:b/>
                <w:sz w:val="17"/>
              </w:rPr>
              <w:t>Evidence layer</w:t>
            </w:r>
          </w:p>
        </w:tc>
        <w:tc>
          <w:tcPr>
            <w:tcW w:type="dxa" w:w="4464"/>
            <w:vAlign w:val="center"/>
            <w:shd w:fill="D9E2F3"/>
          </w:tcPr>
          <w:p>
            <w:pPr>
              <w:spacing w:after="40"/>
            </w:pPr>
            <w:r/>
            <w:r>
              <w:rPr>
                <w:rFonts w:ascii="Helvetica Neue" w:hAnsi="Helvetica Neue"/>
                <w:b/>
                <w:sz w:val="17"/>
              </w:rPr>
              <w:t>Observed result</w:t>
            </w:r>
          </w:p>
        </w:tc>
        <w:tc>
          <w:tcPr>
            <w:tcW w:type="dxa" w:w="3096"/>
            <w:vAlign w:val="center"/>
            <w:shd w:fill="D9E2F3"/>
          </w:tcPr>
          <w:p>
            <w:pPr>
              <w:spacing w:after="40"/>
            </w:pPr>
            <w:r/>
            <w:r>
              <w:rPr>
                <w:rFonts w:ascii="Helvetica Neue" w:hAnsi="Helvetica Neue"/>
                <w:b/>
                <w:sz w:val="17"/>
              </w:rPr>
              <w:t>Interpretation</w:t>
            </w:r>
          </w:p>
        </w:tc>
      </w:tr>
      <w:tr>
        <w:tc>
          <w:tcPr>
            <w:tcW w:type="dxa" w:w="2232"/>
            <w:vAlign w:val="center"/>
          </w:tcPr>
          <w:p>
            <w:pPr>
              <w:spacing w:after="40"/>
            </w:pPr>
            <w:r/>
            <w:r>
              <w:rPr>
                <w:rFonts w:ascii="Helvetica Neue" w:hAnsi="Helvetica Neue"/>
                <w:b w:val="0"/>
                <w:sz w:val="16"/>
              </w:rPr>
              <w:t>Deterministic source gates</w:t>
            </w:r>
          </w:p>
        </w:tc>
        <w:tc>
          <w:tcPr>
            <w:tcW w:type="dxa" w:w="4464"/>
            <w:vAlign w:val="center"/>
          </w:tcPr>
          <w:p>
            <w:pPr>
              <w:spacing w:after="40"/>
            </w:pPr>
            <w:r/>
            <w:r>
              <w:rPr>
                <w:rFonts w:ascii="Helvetica Neue" w:hAnsi="Helvetica Neue"/>
                <w:b w:val="0"/>
                <w:sz w:val="16"/>
              </w:rPr>
              <w:t>Planner, chatbot, registry, compilation, and ROS4HRI audits passed in the source campaign</w:t>
            </w:r>
          </w:p>
        </w:tc>
        <w:tc>
          <w:tcPr>
            <w:tcW w:type="dxa" w:w="3096"/>
            <w:vAlign w:val="center"/>
          </w:tcPr>
          <w:p>
            <w:pPr>
              <w:spacing w:after="40"/>
            </w:pPr>
            <w:r/>
            <w:r>
              <w:rPr>
                <w:rFonts w:ascii="Helvetica Neue" w:hAnsi="Helvetica Neue"/>
                <w:b w:val="0"/>
                <w:sz w:val="16"/>
              </w:rPr>
              <w:t>Contract and implementation evidence; not runtime stress</w:t>
            </w:r>
          </w:p>
        </w:tc>
      </w:tr>
      <w:tr>
        <w:tc>
          <w:tcPr>
            <w:tcW w:type="dxa" w:w="2232"/>
            <w:vAlign w:val="center"/>
          </w:tcPr>
          <w:p>
            <w:pPr>
              <w:spacing w:after="40"/>
            </w:pPr>
            <w:r/>
            <w:r>
              <w:rPr>
                <w:rFonts w:ascii="Helvetica Neue" w:hAnsi="Helvetica Neue"/>
                <w:b w:val="0"/>
                <w:sz w:val="16"/>
              </w:rPr>
              <w:t>Live v34 main harness</w:t>
            </w:r>
          </w:p>
        </w:tc>
        <w:tc>
          <w:tcPr>
            <w:tcW w:type="dxa" w:w="4464"/>
            <w:vAlign w:val="center"/>
          </w:tcPr>
          <w:p>
            <w:pPr>
              <w:spacing w:after="40"/>
            </w:pPr>
            <w:r/>
            <w:r>
              <w:rPr>
                <w:rFonts w:ascii="Helvetica Neue" w:hAnsi="Helvetica Neue"/>
                <w:b w:val="0"/>
                <w:sz w:val="16"/>
              </w:rPr>
              <w:t>21/21 cases completed, with manual wording and closure downgrades retained</w:t>
            </w:r>
          </w:p>
        </w:tc>
        <w:tc>
          <w:tcPr>
            <w:tcW w:type="dxa" w:w="3096"/>
            <w:vAlign w:val="center"/>
          </w:tcPr>
          <w:p>
            <w:pPr>
              <w:spacing w:after="40"/>
            </w:pPr>
            <w:r/>
            <w:r>
              <w:rPr>
                <w:rFonts w:ascii="Helvetica Neue" w:hAnsi="Helvetica Neue"/>
                <w:b w:val="0"/>
                <w:sz w:val="16"/>
              </w:rPr>
              <w:t>Strong end-to-end stack behavior under the qualified primary</w:t>
            </w:r>
          </w:p>
        </w:tc>
      </w:tr>
      <w:tr>
        <w:tc>
          <w:tcPr>
            <w:tcW w:type="dxa" w:w="2232"/>
            <w:vAlign w:val="center"/>
          </w:tcPr>
          <w:p>
            <w:pPr>
              <w:spacing w:after="40"/>
            </w:pPr>
            <w:r/>
            <w:r>
              <w:rPr>
                <w:rFonts w:ascii="Helvetica Neue" w:hAnsi="Helvetica Neue"/>
                <w:b w:val="0"/>
                <w:sz w:val="16"/>
              </w:rPr>
              <w:t>Live repeated robustness</w:t>
            </w:r>
          </w:p>
        </w:tc>
        <w:tc>
          <w:tcPr>
            <w:tcW w:type="dxa" w:w="4464"/>
            <w:vAlign w:val="center"/>
          </w:tcPr>
          <w:p>
            <w:pPr>
              <w:spacing w:after="40"/>
            </w:pPr>
            <w:r/>
            <w:r>
              <w:rPr>
                <w:rFonts w:ascii="Helvetica Neue" w:hAnsi="Helvetica Neue"/>
                <w:b w:val="0"/>
                <w:sz w:val="16"/>
              </w:rPr>
              <w:t>12/15 across three repetitions</w:t>
            </w:r>
          </w:p>
        </w:tc>
        <w:tc>
          <w:tcPr>
            <w:tcW w:type="dxa" w:w="3096"/>
            <w:vAlign w:val="center"/>
          </w:tcPr>
          <w:p>
            <w:pPr>
              <w:spacing w:after="40"/>
            </w:pPr>
            <w:r/>
            <w:r>
              <w:rPr>
                <w:rFonts w:ascii="Helvetica Neue" w:hAnsi="Helvetica Neue"/>
                <w:b w:val="0"/>
                <w:sz w:val="16"/>
              </w:rPr>
              <w:t>Model-sensitive route, target, and report-closure variance</w:t>
            </w:r>
          </w:p>
        </w:tc>
      </w:tr>
      <w:tr>
        <w:tc>
          <w:tcPr>
            <w:tcW w:type="dxa" w:w="2232"/>
            <w:vAlign w:val="center"/>
          </w:tcPr>
          <w:p>
            <w:pPr>
              <w:spacing w:after="40"/>
            </w:pPr>
            <w:r/>
            <w:r>
              <w:rPr>
                <w:rFonts w:ascii="Helvetica Neue" w:hAnsi="Helvetica Neue"/>
                <w:b w:val="0"/>
                <w:sz w:val="16"/>
              </w:rPr>
              <w:t>Environment and KB</w:t>
            </w:r>
          </w:p>
        </w:tc>
        <w:tc>
          <w:tcPr>
            <w:tcW w:type="dxa" w:w="4464"/>
            <w:vAlign w:val="center"/>
          </w:tcPr>
          <w:p>
            <w:pPr>
              <w:spacing w:after="40"/>
            </w:pPr>
            <w:r/>
            <w:r>
              <w:rPr>
                <w:rFonts w:ascii="Helvetica Neue" w:hAnsi="Helvetica Neue"/>
                <w:b w:val="0"/>
                <w:sz w:val="16"/>
              </w:rPr>
              <w:t>11/11 environment, 7/7 stateful KB chain</w:t>
            </w:r>
          </w:p>
        </w:tc>
        <w:tc>
          <w:tcPr>
            <w:tcW w:type="dxa" w:w="3096"/>
            <w:vAlign w:val="center"/>
          </w:tcPr>
          <w:p>
            <w:pPr>
              <w:spacing w:after="40"/>
            </w:pPr>
            <w:r/>
            <w:r>
              <w:rPr>
                <w:rFonts w:ascii="Helvetica Neue" w:hAnsi="Helvetica Neue"/>
                <w:b w:val="0"/>
                <w:sz w:val="16"/>
              </w:rPr>
              <w:t>Grounding and state mutation seams remained coherent</w:t>
            </w:r>
          </w:p>
        </w:tc>
      </w:tr>
      <w:tr>
        <w:tc>
          <w:tcPr>
            <w:tcW w:type="dxa" w:w="2232"/>
            <w:vAlign w:val="center"/>
          </w:tcPr>
          <w:p>
            <w:pPr>
              <w:spacing w:after="40"/>
            </w:pPr>
            <w:r/>
            <w:r>
              <w:rPr>
                <w:rFonts w:ascii="Helvetica Neue" w:hAnsi="Helvetica Neue"/>
                <w:b w:val="0"/>
                <w:sz w:val="16"/>
              </w:rPr>
              <w:t>Fake deep and failure recovery</w:t>
            </w:r>
          </w:p>
        </w:tc>
        <w:tc>
          <w:tcPr>
            <w:tcW w:type="dxa" w:w="4464"/>
            <w:vAlign w:val="center"/>
          </w:tcPr>
          <w:p>
            <w:pPr>
              <w:spacing w:after="40"/>
            </w:pPr>
            <w:r/>
            <w:r>
              <w:rPr>
                <w:rFonts w:ascii="Helvetica Neue" w:hAnsi="Helvetica Neue"/>
                <w:b w:val="0"/>
                <w:sz w:val="16"/>
              </w:rPr>
              <w:t>7 pass, 1 degraded, 1 fail; fail-once navigation passed</w:t>
            </w:r>
          </w:p>
        </w:tc>
        <w:tc>
          <w:tcPr>
            <w:tcW w:type="dxa" w:w="3096"/>
            <w:vAlign w:val="center"/>
          </w:tcPr>
          <w:p>
            <w:pPr>
              <w:spacing w:after="40"/>
            </w:pPr>
            <w:r/>
            <w:r>
              <w:rPr>
                <w:rFonts w:ascii="Helvetica Neue" w:hAnsi="Helvetica Neue"/>
                <w:b w:val="0"/>
                <w:sz w:val="16"/>
              </w:rPr>
              <w:t>Executor truth and replan lineage protected against false completion</w:t>
            </w:r>
          </w:p>
        </w:tc>
      </w:tr>
      <w:tr>
        <w:tc>
          <w:tcPr>
            <w:tcW w:type="dxa" w:w="2232"/>
            <w:vAlign w:val="center"/>
          </w:tcPr>
          <w:p>
            <w:pPr>
              <w:spacing w:after="40"/>
            </w:pPr>
            <w:r/>
            <w:r>
              <w:rPr>
                <w:rFonts w:ascii="Helvetica Neue" w:hAnsi="Helvetica Neue"/>
                <w:b w:val="0"/>
                <w:sz w:val="16"/>
              </w:rPr>
              <w:t>Current fallback smoke</w:t>
            </w:r>
          </w:p>
        </w:tc>
        <w:tc>
          <w:tcPr>
            <w:tcW w:type="dxa" w:w="4464"/>
            <w:vAlign w:val="center"/>
          </w:tcPr>
          <w:p>
            <w:pPr>
              <w:spacing w:after="40"/>
            </w:pPr>
            <w:r/>
            <w:r>
              <w:rPr>
                <w:rFonts w:ascii="Helvetica Neue" w:hAnsi="Helvetica Neue"/>
                <w:b w:val="0"/>
                <w:sz w:val="16"/>
              </w:rPr>
              <w:t>Gemma4 preflights passed; one speech smoke case passed</w:t>
            </w:r>
          </w:p>
        </w:tc>
        <w:tc>
          <w:tcPr>
            <w:tcW w:type="dxa" w:w="3096"/>
            <w:vAlign w:val="center"/>
          </w:tcPr>
          <w:p>
            <w:pPr>
              <w:spacing w:after="40"/>
            </w:pPr>
            <w:r/>
            <w:r>
              <w:rPr>
                <w:rFonts w:ascii="Helvetica Neue" w:hAnsi="Helvetica Neue"/>
                <w:b w:val="0"/>
                <w:sz w:val="16"/>
              </w:rPr>
              <w:t>Operational demo readiness only</w:t>
            </w:r>
          </w:p>
        </w:tc>
      </w:tr>
    </w:tbl>
    <w:p/>
    <w:p>
      <w:pPr>
        <w:pStyle w:val="Heading1"/>
      </w:pPr>
      <w:r>
        <w:t>Model comparison and reserve status</w:t>
      </w:r>
    </w:p>
    <w:tbl>
      <w:tblPr>
        <w:tblW w:type="auto" w:w="0"/>
        <w:jc w:val="center"/>
        <w:tblLayout w:type="fixed"/>
        <w:tblLook w:firstColumn="1" w:firstRow="1" w:lastColumn="0" w:lastRow="0" w:noHBand="0" w:noVBand="1" w:val="04A0"/>
      </w:tblPr>
      <w:tblGrid>
        <w:gridCol w:w="3120"/>
        <w:gridCol w:w="3120"/>
        <w:gridCol w:w="3120"/>
      </w:tblGrid>
      <w:tr>
        <w:tc>
          <w:tcPr>
            <w:tcW w:type="dxa" w:w="648"/>
            <w:vAlign w:val="center"/>
            <w:shd w:fill="D9E2F3"/>
          </w:tcPr>
          <w:p>
            <w:pPr>
              <w:spacing w:after="40"/>
            </w:pPr>
            <w:r/>
            <w:r>
              <w:rPr>
                <w:rFonts w:ascii="Helvetica Neue" w:hAnsi="Helvetica Neue"/>
                <w:b/>
                <w:sz w:val="17"/>
              </w:rPr>
              <w:t>Rank</w:t>
            </w:r>
          </w:p>
        </w:tc>
        <w:tc>
          <w:tcPr>
            <w:tcW w:type="dxa" w:w="2880"/>
            <w:vAlign w:val="center"/>
            <w:shd w:fill="D9E2F3"/>
          </w:tcPr>
          <w:p>
            <w:pPr>
              <w:spacing w:after="40"/>
            </w:pPr>
            <w:r/>
            <w:r>
              <w:rPr>
                <w:rFonts w:ascii="Helvetica Neue" w:hAnsi="Helvetica Neue"/>
                <w:b/>
                <w:sz w:val="17"/>
              </w:rPr>
              <w:t>Model and backend</w:t>
            </w:r>
          </w:p>
        </w:tc>
        <w:tc>
          <w:tcPr>
            <w:tcW w:type="dxa" w:w="6264"/>
            <w:vAlign w:val="center"/>
            <w:shd w:fill="D9E2F3"/>
          </w:tcPr>
          <w:p>
            <w:pPr>
              <w:spacing w:after="40"/>
            </w:pPr>
            <w:r/>
            <w:r>
              <w:rPr>
                <w:rFonts w:ascii="Helvetica Neue" w:hAnsi="Helvetica Neue"/>
                <w:b/>
                <w:sz w:val="17"/>
              </w:rPr>
              <w:t>Evidence-backed status</w:t>
            </w:r>
          </w:p>
        </w:tc>
      </w:tr>
      <w:tr>
        <w:tc>
          <w:tcPr>
            <w:tcW w:type="dxa" w:w="648"/>
            <w:vAlign w:val="center"/>
          </w:tcPr>
          <w:p>
            <w:pPr>
              <w:spacing w:after="40"/>
            </w:pPr>
            <w:r/>
            <w:r>
              <w:rPr>
                <w:rFonts w:ascii="Helvetica Neue" w:hAnsi="Helvetica Neue"/>
                <w:b w:val="0"/>
                <w:sz w:val="16"/>
              </w:rPr>
              <w:t>1</w:t>
            </w:r>
          </w:p>
        </w:tc>
        <w:tc>
          <w:tcPr>
            <w:tcW w:type="dxa" w:w="2880"/>
            <w:vAlign w:val="center"/>
          </w:tcPr>
          <w:p>
            <w:pPr>
              <w:spacing w:after="40"/>
            </w:pPr>
            <w:r/>
            <w:r>
              <w:rPr>
                <w:rFonts w:ascii="Helvetica Neue" w:hAnsi="Helvetica Neue"/>
                <w:b w:val="0"/>
                <w:sz w:val="16"/>
              </w:rPr>
              <w:t>QuantTrio/Qwen3-VL-30B-A3B-Instruct-AWQ</w:t>
              <w:br/>
              <w:t>vLLM</w:t>
            </w:r>
          </w:p>
        </w:tc>
        <w:tc>
          <w:tcPr>
            <w:tcW w:type="dxa" w:w="6264"/>
            <w:vAlign w:val="center"/>
          </w:tcPr>
          <w:p>
            <w:pPr>
              <w:spacing w:after="40"/>
            </w:pPr>
            <w:r/>
            <w:r>
              <w:rPr>
                <w:rFonts w:ascii="Helvetica Neue" w:hAnsi="Helvetica Neue"/>
                <w:b w:val="0"/>
                <w:sz w:val="16"/>
              </w:rPr>
              <w:t>Qualified primary at 8.4/10 on v34. Strong grounding, delivery, recovery, and ordinary composites; residual universal-selection and maximal-plan variance.</w:t>
            </w:r>
          </w:p>
        </w:tc>
      </w:tr>
      <w:tr>
        <w:tc>
          <w:tcPr>
            <w:tcW w:type="dxa" w:w="648"/>
            <w:vAlign w:val="center"/>
          </w:tcPr>
          <w:p>
            <w:pPr>
              <w:spacing w:after="40"/>
            </w:pPr>
            <w:r/>
            <w:r>
              <w:rPr>
                <w:rFonts w:ascii="Helvetica Neue" w:hAnsi="Helvetica Neue"/>
                <w:b w:val="0"/>
                <w:sz w:val="16"/>
              </w:rPr>
              <w:t>2</w:t>
            </w:r>
          </w:p>
        </w:tc>
        <w:tc>
          <w:tcPr>
            <w:tcW w:type="dxa" w:w="2880"/>
            <w:vAlign w:val="center"/>
          </w:tcPr>
          <w:p>
            <w:pPr>
              <w:spacing w:after="40"/>
            </w:pPr>
            <w:r/>
            <w:r>
              <w:rPr>
                <w:rFonts w:ascii="Helvetica Neue" w:hAnsi="Helvetica Neue"/>
                <w:b w:val="0"/>
                <w:sz w:val="16"/>
              </w:rPr>
              <w:t>QuantTrio/Qwen3.6-35B-A3B-AWQ</w:t>
              <w:br/>
              <w:t>vLLM</w:t>
            </w:r>
          </w:p>
        </w:tc>
        <w:tc>
          <w:tcPr>
            <w:tcW w:type="dxa" w:w="6264"/>
            <w:vAlign w:val="center"/>
          </w:tcPr>
          <w:p>
            <w:pPr>
              <w:spacing w:after="40"/>
            </w:pPr>
            <w:r/>
            <w:r>
              <w:rPr>
                <w:rFonts w:ascii="Helvetica Neue" w:hAnsi="Helvetica Neue"/>
                <w:b w:val="0"/>
                <w:sz w:val="16"/>
              </w:rPr>
              <w:t>Startup evidence existed, but no complete locked score. Requalify only when the named endpoint remains stable for the entire run.</w:t>
            </w:r>
          </w:p>
        </w:tc>
      </w:tr>
      <w:tr>
        <w:tc>
          <w:tcPr>
            <w:tcW w:type="dxa" w:w="648"/>
            <w:vAlign w:val="center"/>
          </w:tcPr>
          <w:p>
            <w:pPr>
              <w:spacing w:after="40"/>
            </w:pPr>
            <w:r/>
            <w:r>
              <w:rPr>
                <w:rFonts w:ascii="Helvetica Neue" w:hAnsi="Helvetica Neue"/>
                <w:b w:val="0"/>
                <w:sz w:val="16"/>
              </w:rPr>
              <w:t>3</w:t>
            </w:r>
          </w:p>
        </w:tc>
        <w:tc>
          <w:tcPr>
            <w:tcW w:type="dxa" w:w="2880"/>
            <w:vAlign w:val="center"/>
          </w:tcPr>
          <w:p>
            <w:pPr>
              <w:spacing w:after="40"/>
            </w:pPr>
            <w:r/>
            <w:r>
              <w:rPr>
                <w:rFonts w:ascii="Helvetica Neue" w:hAnsi="Helvetica Neue"/>
                <w:b w:val="0"/>
                <w:sz w:val="16"/>
              </w:rPr>
              <w:t>qwen3-coder:480b-cloud</w:t>
              <w:br/>
              <w:t>Ollama</w:t>
            </w:r>
          </w:p>
        </w:tc>
        <w:tc>
          <w:tcPr>
            <w:tcW w:type="dxa" w:w="6264"/>
            <w:vAlign w:val="center"/>
          </w:tcPr>
          <w:p>
            <w:pPr>
              <w:spacing w:after="40"/>
            </w:pPr>
            <w:r/>
            <w:r>
              <w:rPr>
                <w:rFonts w:ascii="Helvetica Neue" w:hAnsi="Helvetica Neue"/>
                <w:b w:val="0"/>
                <w:sz w:val="16"/>
              </w:rPr>
              <w:t>Strong prior evidence, later blocked by account or service limits. Current inventory still advertises the name, but prior HTTP 410 makes it a reserve only.</w:t>
            </w:r>
          </w:p>
        </w:tc>
      </w:tr>
      <w:tr>
        <w:tc>
          <w:tcPr>
            <w:tcW w:type="dxa" w:w="648"/>
            <w:vAlign w:val="center"/>
          </w:tcPr>
          <w:p>
            <w:pPr>
              <w:spacing w:after="40"/>
            </w:pPr>
            <w:r/>
            <w:r>
              <w:rPr>
                <w:rFonts w:ascii="Helvetica Neue" w:hAnsi="Helvetica Neue"/>
                <w:b w:val="0"/>
                <w:sz w:val="16"/>
              </w:rPr>
              <w:t>4</w:t>
            </w:r>
          </w:p>
        </w:tc>
        <w:tc>
          <w:tcPr>
            <w:tcW w:type="dxa" w:w="2880"/>
            <w:vAlign w:val="center"/>
          </w:tcPr>
          <w:p>
            <w:pPr>
              <w:spacing w:after="40"/>
            </w:pPr>
            <w:r/>
            <w:r>
              <w:rPr>
                <w:rFonts w:ascii="Helvetica Neue" w:hAnsi="Helvetica Neue"/>
                <w:b w:val="0"/>
                <w:sz w:val="16"/>
              </w:rPr>
              <w:t>nemotron-3-super:cloud</w:t>
              <w:br/>
              <w:t>Ollama</w:t>
            </w:r>
          </w:p>
        </w:tc>
        <w:tc>
          <w:tcPr>
            <w:tcW w:type="dxa" w:w="6264"/>
            <w:vAlign w:val="center"/>
          </w:tcPr>
          <w:p>
            <w:pPr>
              <w:spacing w:after="40"/>
            </w:pPr>
            <w:r/>
            <w:r>
              <w:rPr>
                <w:rFonts w:ascii="Helvetica Neue" w:hAnsi="Helvetica Neue"/>
                <w:b w:val="0"/>
                <w:sz w:val="16"/>
              </w:rPr>
              <w:t>Current liveness passed. Prior planner capability evidence was incomplete, so it is suitable for narrow probes until requalified.</w:t>
            </w:r>
          </w:p>
        </w:tc>
      </w:tr>
      <w:tr>
        <w:tc>
          <w:tcPr>
            <w:tcW w:type="dxa" w:w="648"/>
            <w:vAlign w:val="center"/>
          </w:tcPr>
          <w:p>
            <w:pPr>
              <w:spacing w:after="40"/>
            </w:pPr>
            <w:r/>
            <w:r>
              <w:rPr>
                <w:rFonts w:ascii="Helvetica Neue" w:hAnsi="Helvetica Neue"/>
                <w:b w:val="0"/>
                <w:sz w:val="16"/>
              </w:rPr>
              <w:t>5</w:t>
            </w:r>
          </w:p>
        </w:tc>
        <w:tc>
          <w:tcPr>
            <w:tcW w:type="dxa" w:w="2880"/>
            <w:vAlign w:val="center"/>
          </w:tcPr>
          <w:p>
            <w:pPr>
              <w:spacing w:after="40"/>
            </w:pPr>
            <w:r/>
            <w:r>
              <w:rPr>
                <w:rFonts w:ascii="Helvetica Neue" w:hAnsi="Helvetica Neue"/>
                <w:b w:val="0"/>
                <w:sz w:val="16"/>
              </w:rPr>
              <w:t>gemma4:31b-cloud</w:t>
              <w:br/>
              <w:t>Ollama</w:t>
            </w:r>
          </w:p>
        </w:tc>
        <w:tc>
          <w:tcPr>
            <w:tcW w:type="dxa" w:w="6264"/>
            <w:vAlign w:val="center"/>
          </w:tcPr>
          <w:p>
            <w:pPr>
              <w:spacing w:after="40"/>
            </w:pPr>
            <w:r/>
            <w:r>
              <w:rPr>
                <w:rFonts w:ascii="Helvetica Neue" w:hAnsi="Helvetica Neue"/>
                <w:b w:val="0"/>
                <w:sz w:val="16"/>
              </w:rPr>
              <w:t>Current demo fallback. Preflight and one smoke case passed; historical maximal intent behavior was not sufficient for planner qualification.</w:t>
            </w:r>
          </w:p>
        </w:tc>
      </w:tr>
      <w:tr>
        <w:tc>
          <w:tcPr>
            <w:tcW w:type="dxa" w:w="648"/>
            <w:vAlign w:val="center"/>
          </w:tcPr>
          <w:p>
            <w:pPr>
              <w:spacing w:after="40"/>
            </w:pPr>
            <w:r/>
            <w:r>
              <w:rPr>
                <w:rFonts w:ascii="Helvetica Neue" w:hAnsi="Helvetica Neue"/>
                <w:b w:val="0"/>
                <w:sz w:val="16"/>
              </w:rPr>
              <w:t>6</w:t>
            </w:r>
          </w:p>
        </w:tc>
        <w:tc>
          <w:tcPr>
            <w:tcW w:type="dxa" w:w="2880"/>
            <w:vAlign w:val="center"/>
          </w:tcPr>
          <w:p>
            <w:pPr>
              <w:spacing w:after="40"/>
            </w:pPr>
            <w:r/>
            <w:r>
              <w:rPr>
                <w:rFonts w:ascii="Helvetica Neue" w:hAnsi="Helvetica Neue"/>
                <w:b w:val="0"/>
                <w:sz w:val="16"/>
              </w:rPr>
              <w:t>gemma4:cloud</w:t>
              <w:br/>
              <w:t>Ollama</w:t>
            </w:r>
          </w:p>
        </w:tc>
        <w:tc>
          <w:tcPr>
            <w:tcW w:type="dxa" w:w="6264"/>
            <w:vAlign w:val="center"/>
          </w:tcPr>
          <w:p>
            <w:pPr>
              <w:spacing w:after="40"/>
            </w:pPr>
            <w:r/>
            <w:r>
              <w:rPr>
                <w:rFonts w:ascii="Helvetica Neue" w:hAnsi="Helvetica Neue"/>
                <w:b w:val="0"/>
                <w:sz w:val="16"/>
              </w:rPr>
              <w:t>Current liveness passed and historical partial recovery existed. Keep as last resort pending frozen requalification.</w:t>
            </w:r>
          </w:p>
        </w:tc>
      </w:tr>
    </w:tbl>
    <w:p/>
    <w:p>
      <w:pPr>
        <w:pStyle w:val="Heading1"/>
      </w:pPr>
      <w:r>
        <w:t>Application sampling ablation</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shd w:fill="D9E2F3"/>
          </w:tcPr>
          <w:p>
            <w:pPr>
              <w:spacing w:after="40"/>
            </w:pPr>
            <w:r/>
            <w:r>
              <w:rPr>
                <w:rFonts w:ascii="Helvetica Neue" w:hAnsi="Helvetica Neue"/>
                <w:b/>
                <w:sz w:val="17"/>
              </w:rPr>
              <w:t>Cell</w:t>
            </w:r>
          </w:p>
        </w:tc>
        <w:tc>
          <w:tcPr>
            <w:tcW w:type="dxa" w:w="4680"/>
            <w:vAlign w:val="center"/>
            <w:shd w:fill="D9E2F3"/>
          </w:tcPr>
          <w:p>
            <w:pPr>
              <w:spacing w:after="40"/>
            </w:pPr>
            <w:r/>
            <w:r>
              <w:rPr>
                <w:rFonts w:ascii="Helvetica Neue" w:hAnsi="Helvetica Neue"/>
                <w:b/>
                <w:sz w:val="17"/>
              </w:rPr>
              <w:t>Result</w:t>
            </w:r>
          </w:p>
        </w:tc>
        <w:tc>
          <w:tcPr>
            <w:tcW w:type="dxa" w:w="2736"/>
            <w:vAlign w:val="center"/>
            <w:shd w:fill="D9E2F3"/>
          </w:tcPr>
          <w:p>
            <w:pPr>
              <w:spacing w:after="40"/>
            </w:pPr>
            <w:r/>
            <w:r>
              <w:rPr>
                <w:rFonts w:ascii="Helvetica Neue" w:hAnsi="Helvetica Neue"/>
                <w:b/>
                <w:sz w:val="17"/>
              </w:rPr>
              <w:t>Decision</w:t>
            </w:r>
          </w:p>
        </w:tc>
      </w:tr>
      <w:tr>
        <w:tc>
          <w:tcPr>
            <w:tcW w:type="dxa" w:w="2376"/>
            <w:vAlign w:val="center"/>
          </w:tcPr>
          <w:p>
            <w:pPr>
              <w:spacing w:after="40"/>
            </w:pPr>
            <w:r/>
            <w:r>
              <w:rPr>
                <w:rFonts w:ascii="Helvetica Neue" w:hAnsi="Helvetica Neue"/>
                <w:b w:val="0"/>
                <w:sz w:val="16"/>
              </w:rPr>
              <w:t>A0 application sampling</w:t>
            </w:r>
          </w:p>
        </w:tc>
        <w:tc>
          <w:tcPr>
            <w:tcW w:type="dxa" w:w="4680"/>
            <w:vAlign w:val="center"/>
          </w:tcPr>
          <w:p>
            <w:pPr>
              <w:spacing w:after="40"/>
            </w:pPr>
            <w:r/>
            <w:r>
              <w:rPr>
                <w:rFonts w:ascii="Helvetica Neue" w:hAnsi="Helvetica Neue"/>
                <w:b w:val="0"/>
                <w:sz w:val="16"/>
              </w:rPr>
              <w:t>5/6 smoke semantics; median response 3.89 s</w:t>
            </w:r>
          </w:p>
        </w:tc>
        <w:tc>
          <w:tcPr>
            <w:tcW w:type="dxa" w:w="2736"/>
            <w:vAlign w:val="center"/>
          </w:tcPr>
          <w:p>
            <w:pPr>
              <w:spacing w:after="40"/>
            </w:pPr>
            <w:r/>
            <w:r>
              <w:rPr>
                <w:rFonts w:ascii="Helvetica Neue" w:hAnsi="Helvetica Neue"/>
                <w:b w:val="0"/>
                <w:sz w:val="16"/>
              </w:rPr>
              <w:t>Selected</w:t>
            </w:r>
          </w:p>
        </w:tc>
      </w:tr>
      <w:tr>
        <w:tc>
          <w:tcPr>
            <w:tcW w:type="dxa" w:w="2376"/>
            <w:vAlign w:val="center"/>
          </w:tcPr>
          <w:p>
            <w:pPr>
              <w:spacing w:after="40"/>
            </w:pPr>
            <w:r/>
            <w:r>
              <w:rPr>
                <w:rFonts w:ascii="Helvetica Neue" w:hAnsi="Helvetica Neue"/>
                <w:b w:val="0"/>
                <w:sz w:val="16"/>
              </w:rPr>
              <w:t>A1 published Qwen sampling</w:t>
            </w:r>
          </w:p>
        </w:tc>
        <w:tc>
          <w:tcPr>
            <w:tcW w:type="dxa" w:w="4680"/>
            <w:vAlign w:val="center"/>
          </w:tcPr>
          <w:p>
            <w:pPr>
              <w:spacing w:after="40"/>
            </w:pPr>
            <w:r/>
            <w:r>
              <w:rPr>
                <w:rFonts w:ascii="Helvetica Neue" w:hAnsi="Helvetica Neue"/>
                <w:b w:val="0"/>
                <w:sz w:val="16"/>
              </w:rPr>
              <w:t>5/6; median 7.28 s</w:t>
            </w:r>
          </w:p>
        </w:tc>
        <w:tc>
          <w:tcPr>
            <w:tcW w:type="dxa" w:w="2736"/>
            <w:vAlign w:val="center"/>
          </w:tcPr>
          <w:p>
            <w:pPr>
              <w:spacing w:after="40"/>
            </w:pPr>
            <w:r/>
            <w:r>
              <w:rPr>
                <w:rFonts w:ascii="Helvetica Neue" w:hAnsi="Helvetica Neue"/>
                <w:b w:val="0"/>
                <w:sz w:val="16"/>
              </w:rPr>
              <w:t>Rejected for latency without semantic gain</w:t>
            </w:r>
          </w:p>
        </w:tc>
      </w:tr>
      <w:tr>
        <w:tc>
          <w:tcPr>
            <w:tcW w:type="dxa" w:w="2376"/>
            <w:vAlign w:val="center"/>
          </w:tcPr>
          <w:p>
            <w:pPr>
              <w:spacing w:after="40"/>
            </w:pPr>
            <w:r/>
            <w:r>
              <w:rPr>
                <w:rFonts w:ascii="Helvetica Neue" w:hAnsi="Helvetica Neue"/>
                <w:b w:val="0"/>
                <w:sz w:val="16"/>
              </w:rPr>
              <w:t>A2 deterministic sampling</w:t>
            </w:r>
          </w:p>
        </w:tc>
        <w:tc>
          <w:tcPr>
            <w:tcW w:type="dxa" w:w="4680"/>
            <w:vAlign w:val="center"/>
          </w:tcPr>
          <w:p>
            <w:pPr>
              <w:spacing w:after="40"/>
            </w:pPr>
            <w:r/>
            <w:r>
              <w:rPr>
                <w:rFonts w:ascii="Helvetica Neue" w:hAnsi="Helvetica Neue"/>
                <w:b w:val="0"/>
                <w:sz w:val="16"/>
              </w:rPr>
              <w:t>5/6; median 4.16 s</w:t>
            </w:r>
          </w:p>
        </w:tc>
        <w:tc>
          <w:tcPr>
            <w:tcW w:type="dxa" w:w="2736"/>
            <w:vAlign w:val="center"/>
          </w:tcPr>
          <w:p>
            <w:pPr>
              <w:spacing w:after="40"/>
            </w:pPr>
            <w:r/>
            <w:r>
              <w:rPr>
                <w:rFonts w:ascii="Helvetica Neue" w:hAnsi="Helvetica Neue"/>
                <w:b w:val="0"/>
                <w:sz w:val="16"/>
              </w:rPr>
              <w:t>Rejected because semantics did not improve</w:t>
            </w:r>
          </w:p>
        </w:tc>
      </w:tr>
      <w:tr>
        <w:tc>
          <w:tcPr>
            <w:tcW w:type="dxa" w:w="2376"/>
            <w:vAlign w:val="center"/>
          </w:tcPr>
          <w:p>
            <w:pPr>
              <w:spacing w:after="40"/>
            </w:pPr>
            <w:r/>
            <w:r>
              <w:rPr>
                <w:rFonts w:ascii="Helvetica Neue" w:hAnsi="Helvetica Neue"/>
                <w:b w:val="0"/>
                <w:sz w:val="16"/>
              </w:rPr>
              <w:t>A3 256/256/1024 token budgets</w:t>
            </w:r>
          </w:p>
        </w:tc>
        <w:tc>
          <w:tcPr>
            <w:tcW w:type="dxa" w:w="4680"/>
            <w:vAlign w:val="center"/>
          </w:tcPr>
          <w:p>
            <w:pPr>
              <w:spacing w:after="40"/>
            </w:pPr>
            <w:r/>
            <w:r>
              <w:rPr>
                <w:rFonts w:ascii="Helvetica Neue" w:hAnsi="Helvetica Neue"/>
                <w:b w:val="0"/>
                <w:sz w:val="16"/>
              </w:rPr>
              <w:t>Maximal coverage still failed and latency increased</w:t>
            </w:r>
          </w:p>
        </w:tc>
        <w:tc>
          <w:tcPr>
            <w:tcW w:type="dxa" w:w="2736"/>
            <w:vAlign w:val="center"/>
          </w:tcPr>
          <w:p>
            <w:pPr>
              <w:spacing w:after="40"/>
            </w:pPr>
            <w:r/>
            <w:r>
              <w:rPr>
                <w:rFonts w:ascii="Helvetica Neue" w:hAnsi="Helvetica Neue"/>
                <w:b w:val="0"/>
                <w:sz w:val="16"/>
              </w:rPr>
              <w:t>Rejected</w:t>
            </w:r>
          </w:p>
        </w:tc>
      </w:tr>
      <w:tr>
        <w:tc>
          <w:tcPr>
            <w:tcW w:type="dxa" w:w="2376"/>
            <w:vAlign w:val="center"/>
          </w:tcPr>
          <w:p>
            <w:pPr>
              <w:spacing w:after="40"/>
            </w:pPr>
            <w:r/>
            <w:r>
              <w:rPr>
                <w:rFonts w:ascii="Helvetica Neue" w:hAnsi="Helvetica Neue"/>
                <w:b w:val="0"/>
                <w:sz w:val="16"/>
              </w:rPr>
              <w:t>A4 60/30/20/45 timeouts</w:t>
            </w:r>
          </w:p>
        </w:tc>
        <w:tc>
          <w:tcPr>
            <w:tcW w:type="dxa" w:w="4680"/>
            <w:vAlign w:val="center"/>
          </w:tcPr>
          <w:p>
            <w:pPr>
              <w:spacing w:after="40"/>
            </w:pPr>
            <w:r/>
            <w:r>
              <w:rPr>
                <w:rFonts w:ascii="Helvetica Neue" w:hAnsi="Helvetica Neue"/>
                <w:b w:val="0"/>
                <w:sz w:val="16"/>
              </w:rPr>
              <w:t>Smoke completed without transport fallback</w:t>
            </w:r>
          </w:p>
        </w:tc>
        <w:tc>
          <w:tcPr>
            <w:tcW w:type="dxa" w:w="2736"/>
            <w:vAlign w:val="center"/>
          </w:tcPr>
          <w:p>
            <w:pPr>
              <w:spacing w:after="40"/>
            </w:pPr>
            <w:r/>
            <w:r>
              <w:rPr>
                <w:rFonts w:ascii="Helvetica Neue" w:hAnsi="Helvetica Neue"/>
                <w:b w:val="0"/>
                <w:sz w:val="16"/>
              </w:rPr>
              <w:t>Selected</w:t>
            </w:r>
          </w:p>
        </w:tc>
      </w:tr>
    </w:tbl>
    <w:p/>
    <w:p>
      <w:pPr>
        <w:pStyle w:val="Heading1"/>
      </w:pPr>
      <w:r>
        <w:t>Attribution and model variance</w:t>
      </w:r>
    </w:p>
    <w:tbl>
      <w:tblPr>
        <w:tblW w:type="auto" w:w="0"/>
        <w:jc w:val="center"/>
        <w:tblLayout w:type="fixed"/>
        <w:tblLook w:firstColumn="1" w:firstRow="1" w:lastColumn="0" w:lastRow="0" w:noHBand="0" w:noVBand="1" w:val="04A0"/>
      </w:tblPr>
      <w:tblGrid>
        <w:gridCol w:w="3120"/>
        <w:gridCol w:w="3120"/>
        <w:gridCol w:w="3120"/>
      </w:tblGrid>
      <w:tr>
        <w:tc>
          <w:tcPr>
            <w:tcW w:type="dxa" w:w="2880"/>
            <w:vAlign w:val="center"/>
            <w:shd w:fill="D9E2F3"/>
          </w:tcPr>
          <w:p>
            <w:pPr>
              <w:spacing w:after="40"/>
            </w:pPr>
            <w:r/>
            <w:r>
              <w:rPr>
                <w:rFonts w:ascii="Helvetica Neue" w:hAnsi="Helvetica Neue"/>
                <w:b/>
                <w:sz w:val="17"/>
              </w:rPr>
              <w:t>Dataset label</w:t>
            </w:r>
          </w:p>
        </w:tc>
        <w:tc>
          <w:tcPr>
            <w:tcW w:type="dxa" w:w="1152"/>
            <w:vAlign w:val="center"/>
            <w:shd w:fill="D9E2F3"/>
          </w:tcPr>
          <w:p>
            <w:pPr>
              <w:spacing w:after="40"/>
            </w:pPr>
            <w:r/>
            <w:r>
              <w:rPr>
                <w:rFonts w:ascii="Helvetica Neue" w:hAnsi="Helvetica Neue"/>
                <w:b/>
                <w:sz w:val="17"/>
              </w:rPr>
              <w:t>Count</w:t>
            </w:r>
          </w:p>
        </w:tc>
        <w:tc>
          <w:tcPr>
            <w:tcW w:type="dxa" w:w="5760"/>
            <w:vAlign w:val="center"/>
            <w:shd w:fill="D9E2F3"/>
          </w:tcPr>
          <w:p>
            <w:pPr>
              <w:spacing w:after="40"/>
            </w:pPr>
            <w:r/>
            <w:r>
              <w:rPr>
                <w:rFonts w:ascii="Helvetica Neue" w:hAnsi="Helvetica Neue"/>
                <w:b/>
                <w:sz w:val="17"/>
              </w:rPr>
              <w:t>Use in the thesis</w:t>
            </w:r>
          </w:p>
        </w:tc>
      </w:tr>
      <w:tr>
        <w:tc>
          <w:tcPr>
            <w:tcW w:type="dxa" w:w="2880"/>
            <w:vAlign w:val="center"/>
          </w:tcPr>
          <w:p>
            <w:pPr>
              <w:spacing w:after="40"/>
            </w:pPr>
            <w:r/>
            <w:r>
              <w:rPr>
                <w:rFonts w:ascii="Helvetica Neue" w:hAnsi="Helvetica Neue"/>
                <w:b w:val="0"/>
                <w:sz w:val="16"/>
              </w:rPr>
              <w:t>stack_coherent_success</w:t>
            </w:r>
          </w:p>
        </w:tc>
        <w:tc>
          <w:tcPr>
            <w:tcW w:type="dxa" w:w="1152"/>
            <w:vAlign w:val="center"/>
          </w:tcPr>
          <w:p>
            <w:pPr>
              <w:spacing w:after="40"/>
            </w:pPr>
            <w:r/>
            <w:r>
              <w:rPr>
                <w:rFonts w:ascii="Helvetica Neue" w:hAnsi="Helvetica Neue"/>
                <w:b w:val="0"/>
                <w:sz w:val="16"/>
              </w:rPr>
              <w:t>86</w:t>
            </w:r>
          </w:p>
        </w:tc>
        <w:tc>
          <w:tcPr>
            <w:tcW w:type="dxa" w:w="5760"/>
            <w:vAlign w:val="center"/>
          </w:tcPr>
          <w:p>
            <w:pPr>
              <w:spacing w:after="40"/>
            </w:pPr>
            <w:r/>
            <w:r>
              <w:rPr>
                <w:rFonts w:ascii="Helvetica Neue" w:hAnsi="Helvetica Neue"/>
                <w:b w:val="0"/>
                <w:sz w:val="16"/>
              </w:rPr>
              <w:t>Evidence that the owned seams produced the expected trajectory.</w:t>
            </w:r>
          </w:p>
        </w:tc>
      </w:tr>
      <w:tr>
        <w:tc>
          <w:tcPr>
            <w:tcW w:type="dxa" w:w="2880"/>
            <w:vAlign w:val="center"/>
          </w:tcPr>
          <w:p>
            <w:pPr>
              <w:spacing w:after="40"/>
            </w:pPr>
            <w:r/>
            <w:r>
              <w:rPr>
                <w:rFonts w:ascii="Helvetica Neue" w:hAnsi="Helvetica Neue"/>
                <w:b w:val="0"/>
                <w:sz w:val="16"/>
              </w:rPr>
              <w:t>model_or_backend_variance</w:t>
            </w:r>
          </w:p>
        </w:tc>
        <w:tc>
          <w:tcPr>
            <w:tcW w:type="dxa" w:w="1152"/>
            <w:vAlign w:val="center"/>
          </w:tcPr>
          <w:p>
            <w:pPr>
              <w:spacing w:after="40"/>
            </w:pPr>
            <w:r/>
            <w:r>
              <w:rPr>
                <w:rFonts w:ascii="Helvetica Neue" w:hAnsi="Helvetica Neue"/>
                <w:b w:val="0"/>
                <w:sz w:val="16"/>
              </w:rPr>
              <w:t>19</w:t>
            </w:r>
          </w:p>
        </w:tc>
        <w:tc>
          <w:tcPr>
            <w:tcW w:type="dxa" w:w="5760"/>
            <w:vAlign w:val="center"/>
          </w:tcPr>
          <w:p>
            <w:pPr>
              <w:spacing w:after="40"/>
            </w:pPr>
            <w:r/>
            <w:r>
              <w:rPr>
                <w:rFonts w:ascii="Helvetica Neue" w:hAnsi="Helvetica Neue"/>
                <w:b w:val="0"/>
                <w:sz w:val="16"/>
              </w:rPr>
              <w:t>Model-sensitive route, selection, JSON, coverage, or planner behavior.</w:t>
            </w:r>
          </w:p>
        </w:tc>
      </w:tr>
      <w:tr>
        <w:tc>
          <w:tcPr>
            <w:tcW w:type="dxa" w:w="2880"/>
            <w:vAlign w:val="center"/>
          </w:tcPr>
          <w:p>
            <w:pPr>
              <w:spacing w:after="40"/>
            </w:pPr>
            <w:r/>
            <w:r>
              <w:rPr>
                <w:rFonts w:ascii="Helvetica Neue" w:hAnsi="Helvetica Neue"/>
                <w:b w:val="0"/>
                <w:sz w:val="16"/>
              </w:rPr>
              <w:t>harness_observability</w:t>
            </w:r>
          </w:p>
        </w:tc>
        <w:tc>
          <w:tcPr>
            <w:tcW w:type="dxa" w:w="1152"/>
            <w:vAlign w:val="center"/>
          </w:tcPr>
          <w:p>
            <w:pPr>
              <w:spacing w:after="40"/>
            </w:pPr>
            <w:r/>
            <w:r>
              <w:rPr>
                <w:rFonts w:ascii="Helvetica Neue" w:hAnsi="Helvetica Neue"/>
                <w:b w:val="0"/>
                <w:sz w:val="16"/>
              </w:rPr>
              <w:t>2</w:t>
            </w:r>
          </w:p>
        </w:tc>
        <w:tc>
          <w:tcPr>
            <w:tcW w:type="dxa" w:w="5760"/>
            <w:vAlign w:val="center"/>
          </w:tcPr>
          <w:p>
            <w:pPr>
              <w:spacing w:after="40"/>
            </w:pPr>
            <w:r/>
            <w:r>
              <w:rPr>
                <w:rFonts w:ascii="Helvetica Neue" w:hAnsi="Helvetica Neue"/>
                <w:b w:val="0"/>
                <w:sz w:val="16"/>
              </w:rPr>
              <w:t>Evidence correlation or measurement issue requiring caution.</w:t>
            </w:r>
          </w:p>
        </w:tc>
      </w:tr>
      <w:tr>
        <w:tc>
          <w:tcPr>
            <w:tcW w:type="dxa" w:w="2880"/>
            <w:vAlign w:val="center"/>
          </w:tcPr>
          <w:p>
            <w:pPr>
              <w:spacing w:after="40"/>
            </w:pPr>
            <w:r/>
            <w:r>
              <w:rPr>
                <w:rFonts w:ascii="Helvetica Neue" w:hAnsi="Helvetica Neue"/>
                <w:b w:val="0"/>
                <w:sz w:val="16"/>
              </w:rPr>
              <w:t>stack_contract_or_runtime</w:t>
            </w:r>
          </w:p>
        </w:tc>
        <w:tc>
          <w:tcPr>
            <w:tcW w:type="dxa" w:w="1152"/>
            <w:vAlign w:val="center"/>
          </w:tcPr>
          <w:p>
            <w:pPr>
              <w:spacing w:after="40"/>
            </w:pPr>
            <w:r/>
            <w:r>
              <w:rPr>
                <w:rFonts w:ascii="Helvetica Neue" w:hAnsi="Helvetica Neue"/>
                <w:b w:val="0"/>
                <w:sz w:val="16"/>
              </w:rPr>
              <w:t>1</w:t>
            </w:r>
          </w:p>
        </w:tc>
        <w:tc>
          <w:tcPr>
            <w:tcW w:type="dxa" w:w="5760"/>
            <w:vAlign w:val="center"/>
          </w:tcPr>
          <w:p>
            <w:pPr>
              <w:spacing w:after="40"/>
            </w:pPr>
            <w:r/>
            <w:r>
              <w:rPr>
                <w:rFonts w:ascii="Helvetica Neue" w:hAnsi="Helvetica Neue"/>
                <w:b w:val="0"/>
                <w:sz w:val="16"/>
              </w:rPr>
              <w:t>Insufficient evidence for a narrower attribution.</w:t>
            </w:r>
          </w:p>
        </w:tc>
      </w:tr>
    </w:tbl>
    <w:p/>
    <w:p>
      <w:r>
        <w:br w:type="page"/>
      </w:r>
    </w:p>
    <w:p>
      <w:pPr>
        <w:pStyle w:val="Heading1"/>
      </w:pPr>
      <w:r>
        <w:t>Operational selector and reproducibility</w:t>
      </w:r>
    </w:p>
    <w:p>
      <w:r>
        <w:t>The selector is implemented as a launch-time wrapper around the existing ROS launch profile. It does not alter the frozen default launch arguments. An explicit model supplied through chatbot_model, ollama_model, or planner_llm_model is tried first. If it fails a hard readiness condition, the resolver tries the vLLM inventory and then the ordered Ollama inventory. One successful choice is pinned for the launch.</w:t>
      </w:r>
    </w:p>
    <w:p>
      <w:pPr>
        <w:pStyle w:val="ReportBullet"/>
        <w:spacing w:after="60"/>
      </w:pPr>
      <w:r>
        <w:t>• Hard failure conditions include an unreachable inventory endpoint, a non-success HTTP response, an empty assistant message, or a failed readiness probe.</w:t>
      </w:r>
    </w:p>
    <w:p>
      <w:pPr>
        <w:pStyle w:val="ReportBullet"/>
        <w:spacing w:after="60"/>
      </w:pPr>
      <w:r>
        <w:t>• A slow but still responding request does not trigger a mid-run model change. The selector is evaluated at launch so the conversation remains model-consistent.</w:t>
      </w:r>
    </w:p>
    <w:p>
      <w:pPr>
        <w:pStyle w:val="ReportBullet"/>
        <w:spacing w:after="60"/>
      </w:pPr>
      <w:r>
        <w:t>• Fallback emits a human-readable message naming the unavailable preferred model and the selected replacement.</w:t>
      </w:r>
    </w:p>
    <w:p>
      <w:pPr>
        <w:pStyle w:val="ReportBullet"/>
        <w:spacing w:after="60"/>
      </w:pPr>
      <w:r>
        <w:t>• Fallback also appends a JSONL event with the requested model, current model, backend, timestamp, and reason.</w:t>
      </w:r>
    </w:p>
    <w:p>
      <w:pPr>
        <w:pStyle w:val="ReportBullet"/>
        <w:spacing w:after="60"/>
      </w:pPr>
      <w:r>
        <w:t>• No fallback model is promoted to qualified status from availability alone. It must pass the frozen runtime review with repeated sensitive cases.</w:t>
      </w:r>
    </w:p>
    <w:p>
      <w:pPr>
        <w:pStyle w:val="Heading2"/>
      </w:pPr>
      <w:r>
        <w:t>Suggested TFM wording</w:t>
      </w:r>
    </w:p>
    <w:p>
      <w:r>
        <w:t>The evaluation demonstrates that the stack preserves its principal ROS4HRI and execution contracts across changing language-model backends, while model-generated route selection and multi-step planning remain variable. The qualified v34 result therefore characterizes the stack under a named primary model and frozen runtime tuple. Subsequent model runs are treated as controlled ablations or operational fallbacks until they complete the same review.</w:t>
      </w:r>
    </w:p>
    <w:p>
      <w:r>
        <w:br w:type="page"/>
      </w:r>
    </w:p>
    <w:p>
      <w:pPr>
        <w:pStyle w:val="Heading1"/>
      </w:pPr>
      <w:r>
        <w:t>Appendix: run inventory</w:t>
      </w:r>
    </w:p>
    <w:p>
      <w:r>
        <w:t>The full run inventory, per-case dataset, and raw JSON artifacts are included in the ZIP. The compact inventory below records the number of source files and cases used in this report.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vAlign w:val="center"/>
            <w:shd w:fill="D9E2F3"/>
          </w:tcPr>
          <w:p>
            <w:pPr>
              <w:spacing w:after="40"/>
            </w:pPr>
            <w:r/>
            <w:r>
              <w:rPr>
                <w:rFonts w:ascii="Helvetica Neue" w:hAnsi="Helvetica Neue"/>
                <w:b/>
                <w:sz w:val="17"/>
              </w:rPr>
              <w:t>Run group</w:t>
            </w:r>
          </w:p>
        </w:tc>
        <w:tc>
          <w:tcPr>
            <w:tcW w:type="dxa" w:w="1584"/>
            <w:vAlign w:val="center"/>
            <w:shd w:fill="D9E2F3"/>
          </w:tcPr>
          <w:p>
            <w:pPr>
              <w:spacing w:after="40"/>
            </w:pPr>
            <w:r/>
            <w:r>
              <w:rPr>
                <w:rFonts w:ascii="Helvetica Neue" w:hAnsi="Helvetica Neue"/>
                <w:b/>
                <w:sz w:val="17"/>
              </w:rPr>
              <w:t>Source files</w:t>
            </w:r>
          </w:p>
        </w:tc>
        <w:tc>
          <w:tcPr>
            <w:tcW w:type="dxa" w:w="1584"/>
            <w:vAlign w:val="center"/>
            <w:shd w:fill="D9E2F3"/>
          </w:tcPr>
          <w:p>
            <w:pPr>
              <w:spacing w:after="40"/>
            </w:pPr>
            <w:r/>
            <w:r>
              <w:rPr>
                <w:rFonts w:ascii="Helvetica Neue" w:hAnsi="Helvetica Neue"/>
                <w:b/>
                <w:sz w:val="17"/>
              </w:rPr>
              <w:t>Case records</w:t>
            </w:r>
          </w:p>
        </w:tc>
        <w:tc>
          <w:tcPr>
            <w:tcW w:type="dxa" w:w="4608"/>
            <w:vAlign w:val="center"/>
            <w:shd w:fill="D9E2F3"/>
          </w:tcPr>
          <w:p>
            <w:pPr>
              <w:spacing w:after="40"/>
            </w:pPr>
            <w:r/>
            <w:r>
              <w:rPr>
                <w:rFonts w:ascii="Helvetica Neue" w:hAnsi="Helvetica Neue"/>
                <w:b/>
                <w:sz w:val="17"/>
              </w:rPr>
              <w:t>Main purpose</w:t>
            </w:r>
          </w:p>
        </w:tc>
      </w:tr>
      <w:tr>
        <w:tc>
          <w:tcPr>
            <w:tcW w:type="dxa" w:w="2016"/>
            <w:vAlign w:val="center"/>
          </w:tcPr>
          <w:p>
            <w:pPr>
              <w:spacing w:after="40"/>
            </w:pPr>
            <w:r/>
            <w:r>
              <w:rPr>
                <w:rFonts w:ascii="Helvetica Neue" w:hAnsi="Helvetica Neue"/>
                <w:b w:val="0"/>
                <w:sz w:val="16"/>
              </w:rPr>
              <w:t>current_v34</w:t>
            </w:r>
          </w:p>
        </w:tc>
        <w:tc>
          <w:tcPr>
            <w:tcW w:type="dxa" w:w="1584"/>
            <w:vAlign w:val="center"/>
          </w:tcPr>
          <w:p>
            <w:pPr>
              <w:spacing w:after="40"/>
            </w:pPr>
            <w:r/>
            <w:r>
              <w:rPr>
                <w:rFonts w:ascii="Helvetica Neue" w:hAnsi="Helvetica Neue"/>
                <w:b w:val="0"/>
                <w:sz w:val="16"/>
              </w:rPr>
              <w:t>15</w:t>
            </w:r>
          </w:p>
        </w:tc>
        <w:tc>
          <w:tcPr>
            <w:tcW w:type="dxa" w:w="1584"/>
            <w:vAlign w:val="center"/>
          </w:tcPr>
          <w:p>
            <w:pPr>
              <w:spacing w:after="40"/>
            </w:pPr>
            <w:r/>
            <w:r>
              <w:rPr>
                <w:rFonts w:ascii="Helvetica Neue" w:hAnsi="Helvetica Neue"/>
                <w:b w:val="0"/>
                <w:sz w:val="16"/>
              </w:rPr>
              <w:t>72</w:t>
            </w:r>
          </w:p>
        </w:tc>
        <w:tc>
          <w:tcPr>
            <w:tcW w:type="dxa" w:w="4608"/>
            <w:vAlign w:val="center"/>
          </w:tcPr>
          <w:p>
            <w:pPr>
              <w:spacing w:after="40"/>
            </w:pPr>
            <w:r/>
            <w:r>
              <w:rPr>
                <w:rFonts w:ascii="Helvetica Neue" w:hAnsi="Helvetica Neue"/>
                <w:b w:val="0"/>
                <w:sz w:val="16"/>
              </w:rPr>
              <w:t>Frozen primary qualification</w:t>
            </w:r>
          </w:p>
        </w:tc>
      </w:tr>
      <w:tr>
        <w:tc>
          <w:tcPr>
            <w:tcW w:type="dxa" w:w="2016"/>
            <w:vAlign w:val="center"/>
          </w:tcPr>
          <w:p>
            <w:pPr>
              <w:spacing w:after="40"/>
            </w:pPr>
            <w:r/>
            <w:r>
              <w:rPr>
                <w:rFonts w:ascii="Helvetica Neue" w:hAnsi="Helvetica Neue"/>
                <w:b w:val="0"/>
                <w:sz w:val="16"/>
              </w:rPr>
              <w:t>ablations</w:t>
            </w:r>
          </w:p>
        </w:tc>
        <w:tc>
          <w:tcPr>
            <w:tcW w:type="dxa" w:w="1584"/>
            <w:vAlign w:val="center"/>
          </w:tcPr>
          <w:p>
            <w:pPr>
              <w:spacing w:after="40"/>
            </w:pPr>
            <w:r/>
            <w:r>
              <w:rPr>
                <w:rFonts w:ascii="Helvetica Neue" w:hAnsi="Helvetica Neue"/>
                <w:b w:val="0"/>
                <w:sz w:val="16"/>
              </w:rPr>
              <w:t>13</w:t>
            </w:r>
          </w:p>
        </w:tc>
        <w:tc>
          <w:tcPr>
            <w:tcW w:type="dxa" w:w="1584"/>
            <w:vAlign w:val="center"/>
          </w:tcPr>
          <w:p>
            <w:pPr>
              <w:spacing w:after="40"/>
            </w:pPr>
            <w:r/>
            <w:r>
              <w:rPr>
                <w:rFonts w:ascii="Helvetica Neue" w:hAnsi="Helvetica Neue"/>
                <w:b w:val="0"/>
                <w:sz w:val="16"/>
              </w:rPr>
              <w:t>26</w:t>
            </w:r>
          </w:p>
        </w:tc>
        <w:tc>
          <w:tcPr>
            <w:tcW w:type="dxa" w:w="4608"/>
            <w:vAlign w:val="center"/>
          </w:tcPr>
          <w:p>
            <w:pPr>
              <w:spacing w:after="40"/>
            </w:pPr>
            <w:r/>
            <w:r>
              <w:rPr>
                <w:rFonts w:ascii="Helvetica Neue" w:hAnsi="Helvetica Neue"/>
                <w:b w:val="0"/>
                <w:sz w:val="16"/>
              </w:rPr>
              <w:t>Application sampling, token, and timeout ablations</w:t>
            </w:r>
          </w:p>
        </w:tc>
      </w:tr>
      <w:tr>
        <w:tc>
          <w:tcPr>
            <w:tcW w:type="dxa" w:w="2016"/>
            <w:vAlign w:val="center"/>
          </w:tcPr>
          <w:p>
            <w:pPr>
              <w:spacing w:after="40"/>
            </w:pPr>
            <w:r/>
            <w:r>
              <w:rPr>
                <w:rFonts w:ascii="Helvetica Neue" w:hAnsi="Helvetica Neue"/>
                <w:b w:val="0"/>
                <w:sz w:val="16"/>
              </w:rPr>
              <w:t>historical_vllm</w:t>
            </w:r>
          </w:p>
        </w:tc>
        <w:tc>
          <w:tcPr>
            <w:tcW w:type="dxa" w:w="1584"/>
            <w:vAlign w:val="center"/>
          </w:tcPr>
          <w:p>
            <w:pPr>
              <w:spacing w:after="40"/>
            </w:pPr>
            <w:r/>
            <w:r>
              <w:rPr>
                <w:rFonts w:ascii="Helvetica Neue" w:hAnsi="Helvetica Neue"/>
                <w:b w:val="0"/>
                <w:sz w:val="16"/>
              </w:rPr>
              <w:t>3</w:t>
            </w:r>
          </w:p>
        </w:tc>
        <w:tc>
          <w:tcPr>
            <w:tcW w:type="dxa" w:w="1584"/>
            <w:vAlign w:val="center"/>
          </w:tcPr>
          <w:p>
            <w:pPr>
              <w:spacing w:after="40"/>
            </w:pPr>
            <w:r/>
            <w:r>
              <w:rPr>
                <w:rFonts w:ascii="Helvetica Neue" w:hAnsi="Helvetica Neue"/>
                <w:b w:val="0"/>
                <w:sz w:val="16"/>
              </w:rPr>
              <w:t>6</w:t>
            </w:r>
          </w:p>
        </w:tc>
        <w:tc>
          <w:tcPr>
            <w:tcW w:type="dxa" w:w="4608"/>
            <w:vAlign w:val="center"/>
          </w:tcPr>
          <w:p>
            <w:pPr>
              <w:spacing w:after="40"/>
            </w:pPr>
            <w:r/>
            <w:r>
              <w:rPr>
                <w:rFonts w:ascii="Helvetica Neue" w:hAnsi="Helvetica Neue"/>
                <w:b w:val="0"/>
                <w:sz w:val="16"/>
              </w:rPr>
              <w:t>Qwen3.5 vLLM reserve evidence</w:t>
            </w:r>
          </w:p>
        </w:tc>
      </w:tr>
      <w:tr>
        <w:tc>
          <w:tcPr>
            <w:tcW w:type="dxa" w:w="2016"/>
            <w:vAlign w:val="center"/>
          </w:tcPr>
          <w:p>
            <w:pPr>
              <w:spacing w:after="40"/>
            </w:pPr>
            <w:r/>
            <w:r>
              <w:rPr>
                <w:rFonts w:ascii="Helvetica Neue" w:hAnsi="Helvetica Neue"/>
                <w:b w:val="0"/>
                <w:sz w:val="16"/>
              </w:rPr>
              <w:t>historical_ollama</w:t>
            </w:r>
          </w:p>
        </w:tc>
        <w:tc>
          <w:tcPr>
            <w:tcW w:type="dxa" w:w="1584"/>
            <w:vAlign w:val="center"/>
          </w:tcPr>
          <w:p>
            <w:pPr>
              <w:spacing w:after="40"/>
            </w:pPr>
            <w:r/>
            <w:r>
              <w:rPr>
                <w:rFonts w:ascii="Helvetica Neue" w:hAnsi="Helvetica Neue"/>
                <w:b w:val="0"/>
                <w:sz w:val="16"/>
              </w:rPr>
              <w:t>3</w:t>
            </w:r>
          </w:p>
        </w:tc>
        <w:tc>
          <w:tcPr>
            <w:tcW w:type="dxa" w:w="1584"/>
            <w:vAlign w:val="center"/>
          </w:tcPr>
          <w:p>
            <w:pPr>
              <w:spacing w:after="40"/>
            </w:pPr>
            <w:r/>
            <w:r>
              <w:rPr>
                <w:rFonts w:ascii="Helvetica Neue" w:hAnsi="Helvetica Neue"/>
                <w:b w:val="0"/>
                <w:sz w:val="16"/>
              </w:rPr>
              <w:t>3</w:t>
            </w:r>
          </w:p>
        </w:tc>
        <w:tc>
          <w:tcPr>
            <w:tcW w:type="dxa" w:w="4608"/>
            <w:vAlign w:val="center"/>
          </w:tcPr>
          <w:p>
            <w:pPr>
              <w:spacing w:after="40"/>
            </w:pPr>
            <w:r/>
            <w:r>
              <w:rPr>
                <w:rFonts w:ascii="Helvetica Neue" w:hAnsi="Helvetica Neue"/>
                <w:b w:val="0"/>
                <w:sz w:val="16"/>
              </w:rPr>
              <w:t>Ollama reserve evidence</w:t>
            </w:r>
          </w:p>
        </w:tc>
      </w:tr>
      <w:tr>
        <w:tc>
          <w:tcPr>
            <w:tcW w:type="dxa" w:w="2016"/>
            <w:vAlign w:val="center"/>
          </w:tcPr>
          <w:p>
            <w:pPr>
              <w:spacing w:after="40"/>
            </w:pPr>
            <w:r/>
            <w:r>
              <w:rPr>
                <w:rFonts w:ascii="Helvetica Neue" w:hAnsi="Helvetica Neue"/>
                <w:b w:val="0"/>
                <w:sz w:val="16"/>
              </w:rPr>
              <w:t>current_ollama_switch</w:t>
            </w:r>
          </w:p>
        </w:tc>
        <w:tc>
          <w:tcPr>
            <w:tcW w:type="dxa" w:w="1584"/>
            <w:vAlign w:val="center"/>
          </w:tcPr>
          <w:p>
            <w:pPr>
              <w:spacing w:after="40"/>
            </w:pPr>
            <w:r/>
            <w:r>
              <w:rPr>
                <w:rFonts w:ascii="Helvetica Neue" w:hAnsi="Helvetica Neue"/>
                <w:b w:val="0"/>
                <w:sz w:val="16"/>
              </w:rPr>
              <w:t>1</w:t>
            </w:r>
          </w:p>
        </w:tc>
        <w:tc>
          <w:tcPr>
            <w:tcW w:type="dxa" w:w="1584"/>
            <w:vAlign w:val="center"/>
          </w:tcPr>
          <w:p>
            <w:pPr>
              <w:spacing w:after="40"/>
            </w:pPr>
            <w:r/>
            <w:r>
              <w:rPr>
                <w:rFonts w:ascii="Helvetica Neue" w:hAnsi="Helvetica Neue"/>
                <w:b w:val="0"/>
                <w:sz w:val="16"/>
              </w:rPr>
              <w:t>1</w:t>
            </w:r>
          </w:p>
        </w:tc>
        <w:tc>
          <w:tcPr>
            <w:tcW w:type="dxa" w:w="4608"/>
            <w:vAlign w:val="center"/>
          </w:tcPr>
          <w:p>
            <w:pPr>
              <w:spacing w:after="40"/>
            </w:pPr>
            <w:r/>
            <w:r>
              <w:rPr>
                <w:rFonts w:ascii="Helvetica Neue" w:hAnsi="Helvetica Neue"/>
                <w:b w:val="0"/>
                <w:sz w:val="16"/>
              </w:rPr>
              <w:t>Live fallback preflight and smoke</w:t>
            </w:r>
          </w:p>
        </w:tc>
      </w:tr>
    </w:tbl>
    <w:p/>
    <w:p>
      <w:r>
        <w:t>Source paths in the evidence pack are the provenance keys. The report intentionally avoids claiming a universal model ranking from heterogeneous historical runs. The next accepted result should add a new frozen campaign rather than overwrite these artifacts.</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Model-Agnostic Runtime Qualification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20 July 2026</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sz w:val="21"/>
    </w:rPr>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ReportBullet">
    <w:name w:val="Report Bullet"/>
    <w:basedOn w:val="Normal"/>
    <w:pPr>
      <w:ind w:left="360" w:hanging="216"/>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