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038850" cy="5824008"/>
            <wp:effectExtent b="0" l="0" r="0" t="0"/>
            <wp:docPr descr="OpenAI_Photography_2026_04" id="1" name="image1.png"/>
            <a:graphic>
              <a:graphicData uri="http://schemas.openxmlformats.org/drawingml/2006/picture">
                <pic:pic>
                  <pic:nvPicPr>
                    <pic:cNvPr descr="OpenAI_Photography_2026_04" id="0" name="image1.png"/>
                    <pic:cNvPicPr preferRelativeResize="0"/>
                  </pic:nvPicPr>
                  <pic:blipFill>
                    <a:blip r:embed="rId7"/>
                    <a:srcRect b="1779" l="0" r="0" t="177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5824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03">
      <w:pPr>
        <w:pStyle w:val="Title"/>
        <w:keepNext w:val="1"/>
        <w:spacing w:after="100" w:line="278.00000000000006" w:lineRule="auto"/>
        <w:rPr/>
      </w:pPr>
      <w:r>
        <w:rPr>
          <w:rFonts w:ascii="Helvetica Neue" w:hAnsi="Helvetica Neue"/>
        </w:rPr>
        <w:t>Model Invariance Runtime Qualification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4305"/>
        <w:gridCol w:w="901.6666666666654"/>
        <w:gridCol w:w="4153.333333333335"/>
        <w:tblGridChange w:id="0">
          <w:tblGrid>
            <w:gridCol w:w="4305"/>
            <w:gridCol w:w="901.6666666666654"/>
            <w:gridCol w:w="4153.333333333335"/>
          </w:tblGrid>
        </w:tblGridChange>
      </w:tblGrid>
      <w:tr>
        <w:trPr>
          <w:cantSplit w:val="1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20"/>
              </w:rPr>
              <w:t>Frozen NAO ROS4HRI E2E model comparison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14:paraId="00000005">
            <w:pPr>
              <w:spacing w:after="0" w:line="240" w:lineRule="auto"/>
              <w:rPr>
                <w:color w:val="666666"/>
              </w:rPr>
            </w:pPr>
            <w:r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8"/>
              </w:rPr>
              <w:t>Prepared for TFM review</w:t>
              <w:br/>
              <w:t>21 July 2026</w:t>
            </w:r>
          </w:p>
        </w:tc>
      </w:tr>
    </w:tbl>
    <w:p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7a7a7a"/>
          <w:sz w:val="18"/>
          <w:szCs w:val="18"/>
          <w:u w:val="none"/>
          <w:shd w:fill="auto" w:val="clear"/>
          <w:vertAlign w:val="baseline"/>
        </w:rPr>
        <w:sectPr>
          <w:footerReference r:id="rId8" w:type="default"/>
          <w:headerReference w:type="default" r:id="rId6"/>
          <w:pgSz w:h="15840" w:w="12240" w:orient="portrait"/>
          <w:pgMar w:bottom="1440" w:top="1440" w:left="1440" w:right="1440" w:header="720" w:footer="720"/>
          <w:pgNumType w:start="1"/>
        </w:sectPr>
      </w:pPr>
      <w:r>
        <w:rPr>
          <w:rtl w:val="0"/>
        </w:rPr>
      </w:r>
    </w:p>
    <w:p w14:paraId="0000000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Contents</w:t>
      </w:r>
    </w:p>
    <w:p w14:paraId="0000000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="278.00000000000006" w:lineRule="auto"/>
        <w:ind w:left="0" w:right="0" w:firstLine="0"/>
        <w:jc w:val="left"/>
        <w:rPr>
          <w:sz w:val="48"/>
          <w:szCs w:val="48"/>
        </w:rPr>
      </w:pPr>
      <w:r>
        <w:rPr>
          <w:rFonts w:ascii="Helvetica Neue" w:hAnsi="Helvetica Neue"/>
        </w:rPr>
        <w:t>Executive summary | Introduction | Key findings | Conditions | Evidence patterns | Implications | Recommendations | Conclusion | Appendix</w:t>
      </w:r>
    </w:p>
    <w:sdt>
      <w:sdtPr>
        <w:id w:val="-2107746825"/>
        <w:docPartObj>
          <w:docPartGallery w:val="Table of Contents"/>
          <w:docPartUnique w:val="1"/>
        </w:docPartObj>
      </w:sdtPr>
      <w:sdtContent>
        <w:p w14:paraId="0000000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Executive summary</w:t>
              <w:tab/>
              <w:t xml:space="preserve">2</w:t>
            </w:r>
          </w:hyperlink>
          <w:r>
            <w:rPr>
              <w:rtl w:val="0"/>
            </w:rPr>
          </w:r>
        </w:p>
        <w:p w14:paraId="0000000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 a glance</w:t>
              <w:tab/>
              <w:t xml:space="preserve">2</w:t>
            </w:r>
          </w:hyperlink>
          <w:r>
            <w:rPr>
              <w:rtl w:val="0"/>
            </w:rPr>
          </w:r>
        </w:p>
        <w:p w14:paraId="0000000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Introduction</w:t>
              <w:tab/>
              <w:t xml:space="preserve">2</w:t>
            </w:r>
          </w:hyperlink>
          <w:r>
            <w:rPr>
              <w:rtl w:val="0"/>
            </w:rPr>
          </w:r>
        </w:p>
        <w:p w14:paraId="0000000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Key findings</w:t>
              <w:tab/>
              <w:t xml:space="preserve">3</w:t>
            </w:r>
          </w:hyperlink>
          <w:r>
            <w:rPr>
              <w:rtl w:val="0"/>
            </w:rPr>
          </w:r>
        </w:p>
        <w:p w14:paraId="0000000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Context and conditions</w:t>
              <w:tab/>
              <w:t xml:space="preserve">3</w:t>
            </w:r>
          </w:hyperlink>
          <w:r>
            <w:rPr>
              <w:rtl w:val="0"/>
            </w:rPr>
          </w:r>
        </w:p>
        <w:p w14:paraId="0000001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Patterns in the evidence</w:t>
              <w:tab/>
              <w:t xml:space="preserve">3</w:t>
            </w:r>
          </w:hyperlink>
          <w:r>
            <w:rPr>
              <w:rtl w:val="0"/>
            </w:rPr>
          </w:r>
        </w:p>
        <w:p w14:paraId="0000001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Implications</w:t>
              <w:tab/>
              <w:t xml:space="preserve">3</w:t>
            </w:r>
          </w:hyperlink>
          <w:r>
            <w:rPr>
              <w:rtl w:val="0"/>
            </w:rPr>
          </w:r>
        </w:p>
        <w:p w14:paraId="0000001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Recommendations</w:t>
              <w:tab/>
              <w:t xml:space="preserve">4</w:t>
            </w:r>
          </w:hyperlink>
          <w:r>
            <w:rPr>
              <w:rtl w:val="0"/>
            </w:rPr>
          </w:r>
        </w:p>
        <w:p w14:paraId="0000001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Conclusion</w:t>
              <w:tab/>
              <w:t xml:space="preserve">4</w:t>
            </w:r>
          </w:hyperlink>
          <w:r>
            <w:rPr>
              <w:rtl w:val="0"/>
            </w:rPr>
          </w:r>
        </w:p>
        <w:p w14:paraId="0000001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Appendix</w:t>
              <w:tab/>
              <w:t xml:space="preserve">5</w:t>
            </w:r>
          </w:hyperlink>
          <w:r>
            <w:rPr>
              <w:rtl w:val="0"/>
            </w:rPr>
          </w:r>
        </w:p>
        <w:p w14:paraId="0000001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Notes</w:t>
              <w:tab/>
              <w:t xml:space="preserve">5</w:t>
            </w:r>
          </w:hyperlink>
          <w:r>
            <w:rPr>
              <w:rtl w:val="0"/>
            </w:rPr>
          </w:r>
        </w:p>
        <w:p w14:paraId="0000001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Source placeholders</w:t>
              <w:tab/>
              <w:t xml:space="preserve">5</w:t>
            </w:r>
          </w:hyperlink>
          <w:r>
            <w:rPr>
              <w:rtl w:val="0"/>
            </w:rPr>
          </w:r>
          <w:r>
            <w:fldChar w:fldCharType="end"/>
          </w:r>
        </w:p>
      </w:sdtContent>
    </w:sdt>
    <w:bookmarkStart w:colFirst="0" w:colLast="0" w:name="bookmark=id.i23wo83gyh7m" w:id="1"/>
    <w:bookmarkEnd w:id="1"/>
    <w:p w14:paraId="00000017">
      <w:pPr>
        <w:pStyle w:val="Heading1"/>
        <w:pageBreakBefore w:val="1"/>
        <w:rPr/>
      </w:pPr>
      <w:r>
        <w:rPr>
          <w:rtl w:val="0"/>
        </w:rPr>
        <w:t xml:space="preserve">Executive summary</w:t>
      </w:r>
    </w:p>
    <w:p w14:paraId="00000018">
      <w:pPr>
        <w:rPr/>
      </w:pPr>
      <w:r>
        <w:rPr>
          <w:rFonts w:ascii="Helvetica Neue" w:hAnsi="Helvetica Neue"/>
        </w:rPr>
        <w:t>The frozen NAO ROS4HRI stack passed the required startup gate with three Ollama models. The requested vLLM endpoint was unavailable during the final inventory probe, so it is recorded as a blocked semantic cell.</w:t>
      </w:r>
    </w:p>
    <w:p w14:paraId="00000019">
      <w:pPr>
        <w:rPr/>
      </w:pPr>
      <w:r>
        <w:rPr>
          <w:rFonts w:ascii="Helvetica Neue" w:hAnsi="Helvetica Neue"/>
        </w:rPr>
        <w:t>The two Gemma variants reproduced the same main and extreme-capability failure shape while passing the environment, KB, and deterministic fake-skill success families. Nemotron retained environment execution and targeted fail-once recovery but introduced additional planner coverage, KB wording, trace-correlation, and report-closure variance.</w:t>
      </w:r>
    </w:p>
    <w:bookmarkStart w:colFirst="0" w:colLast="0" w:name="bookmark=id.1sqjewf8afxt" w:id="2"/>
    <w:bookmarkEnd w:id="2"/>
    <w:p w14:paraId="0000001A">
      <w:pPr>
        <w:pStyle w:val="Heading2"/>
        <w:rPr/>
      </w:pPr>
      <w:r>
        <w:rPr>
          <w:rtl w:val="0"/>
        </w:rPr>
        <w:t xml:space="preserve">At a glance</w:t>
      </w:r>
    </w:p>
    <w:p w14:paraId="0000001B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hAnsi="Helvetica Neue"/>
        </w:rPr>
        <w:t>Three model cells</w:t>
      </w:r>
    </w:p>
    <w:p w14:paraId="0000001C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hAnsi="Helvetica Neue"/>
        </w:rPr>
        <w:t>Gemma4 variants shared the failure intersection; this is the primary evidence against attributing every failure to model quality.</w:t>
      </w:r>
    </w:p>
    <w:p w14:paraId="0000001D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hAnsi="Helvetica Neue"/>
        </w:rPr>
        <w:t>No vLLM semantic result was scored because /v1/models returned HTTP 000.</w:t>
      </w:r>
    </w:p>
    <w:bookmarkStart w:colFirst="0" w:colLast="0" w:name="bookmark=id.4t4jj91ycfx" w:id="3"/>
    <w:bookmarkEnd w:id="3"/>
    <w:p w14:paraId="0000001E">
      <w:pPr>
        <w:pStyle w:val="Heading2"/>
        <w:rPr/>
      </w:pPr>
      <w:r>
        <w:rPr>
          <w:rtl w:val="0"/>
        </w:rPr>
        <w:t xml:space="preserve">Introduction</w:t>
      </w:r>
    </w:p>
    <w:p w14:paraId="0000001F">
      <w:pPr>
        <w:rPr/>
      </w:pPr>
      <w:r>
        <w:rPr>
          <w:rFonts w:ascii="Helvetica Neue" w:hAnsi="Helvetica Neue"/>
        </w:rPr>
        <w:t>The comparison keeps the frozen image, ROS graph, prompt and generation settings, KnowledgeCore fixtures, fake-skill policies, questionnaire cases, and speech evidence policy constant. The only experimental factor is the selected Ollama model, with the declared no-driver profile used for the two alternative cells after the external NAOqi endpoint timed out.</w:t>
      </w:r>
    </w:p>
    <w:p w14:paraId="00000020">
      <w:pPr>
        <w:rPr/>
      </w:pPr>
      <w:r>
        <w:rPr>
          <w:rFonts w:ascii="Helvetica Neue" w:hAnsi="Helvetica Neue"/>
        </w:rPr>
        <w:t>Live questionnaire rows are runtime stress evidence over fixed cases. They are distinct from deterministic source and harness tests. A pass proves the expected evidence path for that case, not universal success over all natural-language inputs.</w:t>
      </w:r>
    </w:p>
    <w:bookmarkStart w:colFirst="0" w:colLast="0" w:name="bookmark=id.xx7bxdemqiq" w:id="4"/>
    <w:bookmarkEnd w:id="4"/>
    <w:p w14:paraId="00000021">
      <w:pPr>
        <w:pStyle w:val="Heading1"/>
        <w:pageBreakBefore w:val="1"/>
        <w:rPr/>
      </w:pPr>
      <w:r>
        <w:rPr>
          <w:rtl w:val="0"/>
        </w:rPr>
        <w:t xml:space="preserve">Key findings</w:t>
      </w:r>
    </w:p>
    <w:p w14:paraId="00000022">
      <w:pPr>
        <w:rPr/>
      </w:pPr>
      <w:r>
        <w:rPr>
          <w:rFonts w:ascii="Helvetica Neue" w:hAnsi="Helvetica Neue"/>
        </w:rPr>
        <w:t>The strongest invariant is the 11/11 environment result for all three models. The Gemma variants also passed 7/7 KB stress and 9/9 all-success fake-deep cases. Nemotron passed 4/6 scoreable KB cases and 8/9 fake-deep cases, with its targeted fail-once navigation probe passing with observed failure and replan.</w:t>
      </w:r>
    </w:p>
    <w:p w14:paraId="00000023">
      <w:pPr>
        <w:pStyle w:val="Heading2"/>
        <w:rPr/>
      </w:pPr>
      <w:r>
        <w:rPr>
          <w:rtl w:val="0"/>
        </w:rPr>
        <w:t xml:space="preserve">Context and conditions</w:t>
      </w:r>
    </w:p>
    <w:p w14:paraId="00000024">
      <w:pPr>
        <w:rPr/>
      </w:pPr>
      <w:r>
        <w:rPr>
          <w:rFonts w:ascii="Helvetica Neue" w:hAnsi="Helvetica Neue"/>
        </w:rPr>
        <w:t>The standard-family strict pass rates were 84.7% for gemma4:31b-cloud, 85.0% for gemma4:cloud, and 76.8% for nemotron-3-super:cloud. These are one-run engineering rates, not a universal model ranking.</w:t>
      </w:r>
    </w:p>
    <w:p w14:paraId="00000025">
      <w:pPr>
        <w:pStyle w:val="Heading2"/>
        <w:rPr/>
      </w:pPr>
      <w:r>
        <w:rPr>
          <w:rtl w:val="0"/>
        </w:rPr>
        <w:t xml:space="preserve">Patterns in the evidence</w:t>
      </w:r>
    </w:p>
    <w:p w14:paraId="00000026">
      <w:pPr>
        <w:rPr/>
      </w:pPr>
      <w:r>
        <w:rPr>
          <w:rFonts w:ascii="Helvetica Neue" w:hAnsi="Helvetica Neue"/>
        </w:rPr>
        <w:t>Shared failures concentrated in generic pick admission, maximal kitchen delivery, missing-recipient clarification, universal target selection, and high-composition capability coverage. Nemotron-only variance concentrated in planner coverage, KB speech projection, trace correlation, and terminal report closure.</w:t>
      </w:r>
    </w:p>
    <w:p w14:paraId="00000027">
      <w:pPr>
        <w:rPr/>
      </w:pPr>
      <w:r>
        <w:rPr>
          <w:rtl w:val="0"/>
        </w:rPr>
      </w:r>
    </w:p>
    <w:p w14:paraId="00000028">
      <w:pPr>
        <w:keepNext w:val="0"/>
        <w:keepLines w:val="1"/>
        <w:pageBreakBefore w:val="0"/>
        <w:widowControl w:val="1"/>
        <w:pBdr>
          <w:top w:space="0" w:sz="0" w:val="nil"/>
          <w:left w:color="595959" w:space="8" w:sz="16" w:val="single"/>
          <w:bottom w:space="0" w:sz="0" w:val="nil"/>
          <w:right w:space="0" w:sz="0" w:val="nil"/>
          <w:between w:space="0" w:sz="0" w:val="nil"/>
        </w:pBdr>
        <w:shd w:fill="f2f2f2" w:val="clear"/>
        <w:spacing w:after="200" w:before="160" w:line="269" w:lineRule="auto"/>
        <w:ind w:left="259" w:right="259" w:firstLine="0"/>
        <w:jc w:val="left"/>
        <w:rPr/>
      </w:pPr>
      <w:r>
        <w:rPr>
          <w:rFonts w:ascii="Helvetica Neue" w:hAnsi="Helvetica Neue"/>
        </w:rPr>
        <w:t>Key takeaway. The stack contract remained usable across the tested models, while generated route, target, plan, wording, and closure behavior remained model-dependent.</w:t>
      </w:r>
    </w:p>
    <w:p w14:paraId="00000029">
      <w:pPr>
        <w:pStyle w:val="Heading2"/>
        <w:rPr/>
      </w:pPr>
      <w:r>
        <w:rPr>
          <w:rtl w:val="0"/>
        </w:rPr>
      </w:r>
    </w:p>
    <w:bookmarkStart w:colFirst="0" w:colLast="0" w:name="bookmark=id.suv0vlq0gz4r" w:id="5"/>
    <w:bookmarkEnd w:id="5"/>
    <w:p w14:paraId="0000002A">
      <w:pPr>
        <w:pStyle w:val="Heading2"/>
        <w:rPr/>
      </w:pPr>
      <w:r>
        <w:rPr>
          <w:rFonts w:ascii="Helvetica Neue" w:hAnsi="Helvetica Neue"/>
        </w:rPr>
        <w:t>Implications</w:t>
      </w:r>
    </w:p>
    <w:p w14:paraId="0000002B">
      <w:pPr>
        <w:rPr/>
      </w:pPr>
      <w:r>
        <w:rPr>
          <w:rFonts w:ascii="Helvetica Neue" w:hAnsi="Helvetica Neue"/>
        </w:rPr>
        <w:t>A model replacement must be evaluated through the same frozen E2E matrix. Endpoint reachability and one successful dialogue establish operational availability, not semantic equivalence.</w:t>
      </w:r>
    </w:p>
    <w:tbl>
      <w:tblPr>
        <w:tblStyle w:val="Table2"/>
        <w:tblW w:w="9120.0" w:type="dxa"/>
        <w:jc w:val="left"/>
        <w:tblInd w:w="120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800"/>
        <w:gridCol w:w="3300"/>
        <w:gridCol w:w="4020"/>
        <w:tblGridChange w:id="0">
          <w:tblGrid>
            <w:gridCol w:w="1800"/>
            <w:gridCol w:w="3300"/>
            <w:gridCol w:w="402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110.0" w:type="dxa"/>
              <w:bottom w:w="110.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/>
                <w:sz w:val="17"/>
              </w:rPr>
              <w:t>Theme</w:t>
            </w:r>
          </w:p>
        </w:tc>
        <w:tc>
          <w:tcPr>
            <w:shd w:fill="D9E2F3" w:val="clear"/>
            <w:tcMar>
              <w:top w:w="110.0" w:type="dxa"/>
              <w:bottom w:w="110.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/>
                <w:sz w:val="17"/>
              </w:rPr>
              <w:t>Observation</w:t>
            </w:r>
          </w:p>
        </w:tc>
        <w:tc>
          <w:tcPr>
            <w:shd w:fill="D9E2F3" w:val="clear"/>
            <w:tcMar>
              <w:top w:w="110.0" w:type="dxa"/>
              <w:bottom w:w="110.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/>
                <w:sz w:val="17"/>
              </w:rPr>
              <w:t>Implication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Endpoint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vLLM /v1/models unavailable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No vLLM semantic score was fabricated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Cells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Gemma4 31B, Nemotron 3 Super, Gemma4 cloud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Three Ollama models passed startup preflight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Evidence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191 retained case rows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Raw JSON and derived thesis dataset preserved</w:t>
            </w:r>
          </w:p>
        </w:tc>
      </w:tr>
    </w:tbl>
    <w:bookmarkStart w:colFirst="0" w:colLast="0" w:name="bookmark=id.vvr4bduzzdc0" w:id="6"/>
    <w:bookmarkEnd w:id="6"/>
    <w:p w14:paraId="00000038">
      <w:pPr>
        <w:pStyle w:val="Heading1"/>
        <w:pageBreakBefore w:val="1"/>
        <w:rPr/>
      </w:pPr>
      <w:r>
        <w:rPr>
          <w:rtl w:val="0"/>
        </w:rPr>
        <w:t xml:space="preserve">Recommendations</w:t>
      </w:r>
    </w:p>
    <w:p w14:paraId="00000039">
      <w:pPr>
        <w:rPr/>
      </w:pPr>
      <w:r>
        <w:rPr>
          <w:rFonts w:ascii="Helvetica Neue" w:hAnsi="Helvetica Neue"/>
        </w:rPr>
        <w:t>Recommendations</w:t>
      </w:r>
    </w:p>
    <w:p w14:paraId="0000003A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6" w:lineRule="auto"/>
        <w:ind w:left="540" w:right="0" w:hanging="270"/>
        <w:jc w:val="left"/>
        <w:rPr/>
      </w:pPr>
      <w:r>
        <w:rPr>
          <w:rFonts w:ascii="Helvetica Neue" w:hAnsi="Helvetica Neue"/>
        </w:rPr>
        <w:t>Keep vLLM as the preferred backend only after /v1/models and a named completion probe succeed.</w:t>
      </w:r>
    </w:p>
    <w:p w14:paraId="0000003B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6" w:lineRule="auto"/>
        <w:ind w:left="540" w:right="0" w:hanging="270"/>
        <w:jc w:val="left"/>
        <w:rPr/>
      </w:pPr>
      <w:r>
        <w:rPr>
          <w:rFonts w:ascii="Helvetica Neue" w:hAnsi="Helvetica Neue"/>
        </w:rPr>
        <w:t>Use an explicit, launch-time fallback order and pin the selected model for the run. Record fallback reason and model identity in JSONL.</w:t>
      </w:r>
    </w:p>
    <w:p w14:paraId="0000003C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6" w:lineRule="auto"/>
        <w:ind w:left="540" w:right="0" w:hanging="270"/>
        <w:jc w:val="left"/>
        <w:rPr/>
      </w:pPr>
      <w:r>
        <w:rPr>
          <w:rFonts w:ascii="Helvetica Neue" w:hAnsi="Helvetica Neue"/>
        </w:rPr>
        <w:t>Repeat shared failures and model-specific sensitive cases at least three times before changing stack code or prompt policy.</w:t>
      </w:r>
    </w:p>
    <w:bookmarkStart w:colFirst="0" w:colLast="0" w:name="bookmark=id.rl3o3rp5qmnq" w:id="7"/>
    <w:bookmarkEnd w:id="7"/>
    <w:p w14:paraId="0000003D">
      <w:pPr>
        <w:pStyle w:val="Heading2"/>
        <w:rPr/>
      </w:pPr>
      <w:r>
        <w:rPr>
          <w:rtl w:val="0"/>
        </w:rPr>
        <w:t xml:space="preserve">Conclusion</w:t>
      </w:r>
    </w:p>
    <w:p w14:paraId="0000003E">
      <w:pPr>
        <w:rPr/>
      </w:pPr>
      <w:r>
        <w:rPr>
          <w:rFonts w:ascii="Helvetica Neue" w:hAnsi="Helvetica Neue"/>
        </w:rPr>
        <w:t>The comparison supports a model-agnostic stack claim at the ownership and execution boundaries, with a qualification that model-mediated planning remains variable.</w:t>
      </w:r>
    </w:p>
    <w:p w14:paraId="0000003F">
      <w:pPr>
        <w:rPr/>
      </w:pPr>
      <w:r>
        <w:rPr>
          <w:rFonts w:ascii="Helvetica Neue" w:hAnsi="Helvetica Neue"/>
        </w:rPr>
        <w:t>The retained raw JSON, dataset, hypothesis registry, and HTML report make the attribution auditable for thesis Results and Discussion writing.</w:t>
      </w:r>
    </w:p>
    <w:bookmarkStart w:colFirst="0" w:colLast="0" w:name="bookmark=id.cf45595vup8a" w:id="8"/>
    <w:bookmarkEnd w:id="8"/>
    <w:p w14:paraId="00000040">
      <w:pPr>
        <w:pStyle w:val="Heading1"/>
        <w:pageBreakBefore w:val="1"/>
        <w:rPr/>
      </w:pPr>
      <w:r>
        <w:rPr>
          <w:rtl w:val="0"/>
        </w:rPr>
        <w:t xml:space="preserve">Appendix</w:t>
      </w:r>
    </w:p>
    <w:bookmarkStart w:colFirst="0" w:colLast="0" w:name="bookmark=id.ptrg31dozyqs" w:id="9"/>
    <w:bookmarkEnd w:id="9"/>
    <w:p w14:paraId="00000041">
      <w:pPr>
        <w:pStyle w:val="Heading2"/>
        <w:rPr/>
      </w:pPr>
      <w:r>
        <w:rPr>
          <w:rtl w:val="0"/>
        </w:rPr>
        <w:t xml:space="preserve">Notes</w:t>
      </w:r>
    </w:p>
    <w:p w14:paraId="00000042">
      <w:pPr>
        <w:rPr/>
      </w:pPr>
      <w:r>
        <w:rPr>
          <w:rFonts w:ascii="Helvetica Neue" w:hAnsi="Helvetica Neue"/>
        </w:rPr>
        <w:t>Evidence semantics</w:t>
      </w:r>
    </w:p>
    <w:p w14:paraId="00000043">
      <w:pPr>
        <w:rPr/>
      </w:pPr>
      <w:r>
        <w:rPr>
          <w:rFonts w:ascii="Helvetica Neue" w:hAnsi="Helvetica Neue"/>
        </w:rPr>
        <w:t>Deterministic tests validate implementation contracts. Live cases exercise endpoint reachability, ROS lifecycle, grounding, planning, execution, speech, and trace seams. The categories must remain separate in the thesis.</w:t>
      </w:r>
    </w:p>
    <w:bookmarkStart w:colFirst="0" w:colLast="0" w:name="bookmark=id.nnk1eebni0ji" w:id="10"/>
    <w:bookmarkEnd w:id="10"/>
    <w:p w14:paraId="00000044">
      <w:pPr>
        <w:pStyle w:val="Heading2"/>
        <w:rPr/>
      </w:pPr>
      <w:r>
        <w:rPr>
          <w:rtl w:val="0"/>
        </w:rPr>
        <w:t xml:space="preserve">Source placeholders</w:t>
      </w:r>
    </w:p>
    <w:p w14:paraId="00000045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hAnsi="Helvetica Neue"/>
        </w:rPr>
        <w:t>NAO ROS4HRI runtime stack. Model invariance E2E comparison and raw JSON artifacts. Local project evidence pack, 21 July 2026.</w:t>
      </w:r>
    </w:p>
    <w:p w14:paraId="00000046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hAnsi="Helvetica Neue"/>
        </w:rPr>
        <w:t>Robot runtime performance review. REPORT.md and REPORT.html for the frozen v34 image. Local project artifact, 21 July 2026.</w:t>
      </w:r>
    </w:p>
    <w:p w14:paraId="00000047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hAnsi="Helvetica Neue"/>
        </w:rPr>
        <w:t>Model comparison dataset. dataset.csv, dataset.jsonl, and comparison_summary.json. Generated from the retained live questionnaires, 21 July 2026.</w:t>
      </w:r>
    </w:p>
    <w:p w14:paraId="00000048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hAnsi="Helvetica Neue"/>
        </w:rPr>
        <w:t>Backend inventory. vLLM and Ollama endpoint probe with selected model identities. Local runtime evidence, 21 July 2026.</w:t>
      </w:r>
    </w:p>
    <w:p w14:paraId="0000004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/>
      </w:pPr>
      <w:r>
        <w:rPr>
          <w:rtl w:val="0"/>
        </w:rPr>
      </w:r>
    </w:p>
    <w:p w14:paraId="0000004A">
      <w:pPr>
        <w:keepNext w:val="0"/>
        <w:keepLines w:val="1"/>
        <w:pageBreakBefore w:val="0"/>
        <w:widowControl w:val="1"/>
        <w:pBdr>
          <w:top w:space="0" w:sz="0" w:val="nil"/>
          <w:left w:color="595959" w:space="8" w:sz="16" w:val="single"/>
          <w:bottom w:space="0" w:sz="0" w:val="nil"/>
          <w:right w:space="0" w:sz="0" w:val="nil"/>
          <w:between w:space="0" w:sz="0" w:val="nil"/>
        </w:pBdr>
        <w:shd w:fill="f2f2f2" w:val="clear"/>
        <w:spacing w:after="200" w:before="160" w:line="269" w:lineRule="auto"/>
        <w:ind w:left="259" w:right="259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>
        <w:rPr>
          <w:rFonts w:ascii="Helvetica Neue" w:hAnsi="Helvetica Neue"/>
        </w:rPr>
        <w:t>Template note. The retained design-report visual system was used. The generated DOCX was rendered and checked after generation; raw evidence remains alongside this report.</w:t>
      </w:r>
    </w:p>
    <w:p>
      <w:r>
        <w:br w:type="page"/>
      </w:r>
    </w:p>
    <w:p>
      <w:pPr>
        <w:pStyle w:val="Heading1"/>
      </w:pPr>
      <w:r>
        <w:t>Comparative evidence tables</w:t>
      </w:r>
    </w:p>
    <w:p>
      <w:r>
        <w:t>The following tables summarize the JSON outputs. Source-file paths and full case observations are retained in the accompanying dataset.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024"/>
            <w:vAlign w:val="center"/>
            <w:shd w:fill="D9E2F3"/>
          </w:tcPr>
          <w:p>
            <w:pPr>
              <w:spacing w:after="40"/>
            </w:pPr>
            <w:r/>
            <w:r>
              <w:rPr>
                <w:rFonts w:ascii="Helvetica Neue" w:hAnsi="Helvetica Neue"/>
                <w:b/>
                <w:sz w:val="17"/>
              </w:rPr>
              <w:t>Case family</w:t>
            </w:r>
          </w:p>
        </w:tc>
        <w:tc>
          <w:tcPr>
            <w:tcW w:type="dxa" w:w="2088"/>
            <w:vAlign w:val="center"/>
            <w:shd w:fill="D9E2F3"/>
          </w:tcPr>
          <w:p>
            <w:pPr>
              <w:spacing w:after="40"/>
            </w:pPr>
            <w:r/>
            <w:r>
              <w:rPr>
                <w:rFonts w:ascii="Helvetica Neue" w:hAnsi="Helvetica Neue"/>
                <w:b/>
                <w:sz w:val="17"/>
              </w:rPr>
              <w:t>Gemma4 31B</w:t>
            </w:r>
          </w:p>
        </w:tc>
        <w:tc>
          <w:tcPr>
            <w:tcW w:type="dxa" w:w="2088"/>
            <w:vAlign w:val="center"/>
            <w:shd w:fill="D9E2F3"/>
          </w:tcPr>
          <w:p>
            <w:pPr>
              <w:spacing w:after="40"/>
            </w:pPr>
            <w:r/>
            <w:r>
              <w:rPr>
                <w:rFonts w:ascii="Helvetica Neue" w:hAnsi="Helvetica Neue"/>
                <w:b/>
                <w:sz w:val="17"/>
              </w:rPr>
              <w:t>Gemma4 cloud</w:t>
            </w:r>
          </w:p>
        </w:tc>
        <w:tc>
          <w:tcPr>
            <w:tcW w:type="dxa" w:w="2592"/>
            <w:vAlign w:val="center"/>
            <w:shd w:fill="D9E2F3"/>
          </w:tcPr>
          <w:p>
            <w:pPr>
              <w:spacing w:after="40"/>
            </w:pPr>
            <w:r/>
            <w:r>
              <w:rPr>
                <w:rFonts w:ascii="Helvetica Neue" w:hAnsi="Helvetica Neue"/>
                <w:b/>
                <w:sz w:val="17"/>
              </w:rPr>
              <w:t>Nemotron 3 Super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Environment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11/11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11/11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11/11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Main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17/20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18/21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17/19 + 1 degraded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KB stress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7/7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7/7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4/6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Robustness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3/5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3/5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3/5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Fake deep all success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9/9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9/9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8/9 + 1 degraded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Capability extreme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3/7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3/7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0/6 + 1 not scored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Fail-once navigation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diagnostic full run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1/1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1/1</w:t>
            </w:r>
          </w:p>
        </w:tc>
      </w:tr>
    </w:tbl>
    <w:p/>
    <w:p>
      <w:pPr>
        <w:pStyle w:val="Heading1"/>
      </w:pPr>
      <w:r>
        <w:t>Startup and endpoint conditions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vAlign w:val="center"/>
            <w:shd w:fill="D9E2F3"/>
          </w:tcPr>
          <w:p>
            <w:pPr>
              <w:spacing w:after="40"/>
            </w:pPr>
            <w:r/>
            <w:r>
              <w:rPr>
                <w:rFonts w:ascii="Helvetica Neue" w:hAnsi="Helvetica Neue"/>
                <w:b/>
                <w:sz w:val="17"/>
              </w:rPr>
              <w:t>Condition</w:t>
            </w:r>
          </w:p>
        </w:tc>
        <w:tc>
          <w:tcPr>
            <w:tcW w:type="dxa" w:w="4608"/>
            <w:vAlign w:val="center"/>
            <w:shd w:fill="D9E2F3"/>
          </w:tcPr>
          <w:p>
            <w:pPr>
              <w:spacing w:after="40"/>
            </w:pPr>
            <w:r/>
            <w:r>
              <w:rPr>
                <w:rFonts w:ascii="Helvetica Neue" w:hAnsi="Helvetica Neue"/>
                <w:b/>
                <w:sz w:val="17"/>
              </w:rPr>
              <w:t>Observation</w:t>
            </w:r>
          </w:p>
        </w:tc>
        <w:tc>
          <w:tcPr>
            <w:tcW w:type="dxa" w:w="2592"/>
            <w:vAlign w:val="center"/>
            <w:shd w:fill="D9E2F3"/>
          </w:tcPr>
          <w:p>
            <w:pPr>
              <w:spacing w:after="40"/>
            </w:pPr>
            <w:r/>
            <w:r>
              <w:rPr>
                <w:rFonts w:ascii="Helvetica Neue" w:hAnsi="Helvetica Neue"/>
                <w:b/>
                <w:sz w:val="17"/>
              </w:rPr>
              <w:t>Interpretation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vLLM inventory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HTTP 000 at 10.7.138.215:8004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Blocked semantic cell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Ollama inventory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11 advertised models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Candidate source available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Chatbot and planner preflight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Pass for all three selected models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Launch readiness established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Required lifecycle nodes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Active [3] in each scored cell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Core graph ready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NAOqi endpoint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Connection timeout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Isolated from alternative semantic cells</w:t>
            </w:r>
          </w:p>
        </w:tc>
      </w:tr>
    </w:tbl>
    <w:p/>
    <w:p>
      <w:pPr>
        <w:pStyle w:val="Heading1"/>
      </w:pPr>
      <w:r>
        <w:t>Shared and model-specific outcomes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vAlign w:val="center"/>
            <w:shd w:fill="D9E2F3"/>
          </w:tcPr>
          <w:p>
            <w:pPr>
              <w:spacing w:after="40"/>
            </w:pPr>
            <w:r/>
            <w:r>
              <w:rPr>
                <w:rFonts w:ascii="Helvetica Neue" w:hAnsi="Helvetica Neue"/>
                <w:b/>
                <w:sz w:val="17"/>
              </w:rPr>
              <w:t>Evidence</w:t>
            </w:r>
          </w:p>
        </w:tc>
        <w:tc>
          <w:tcPr>
            <w:tcW w:type="dxa" w:w="4968"/>
            <w:vAlign w:val="center"/>
            <w:shd w:fill="D9E2F3"/>
          </w:tcPr>
          <w:p>
            <w:pPr>
              <w:spacing w:after="40"/>
            </w:pPr>
            <w:r/>
            <w:r>
              <w:rPr>
                <w:rFonts w:ascii="Helvetica Neue" w:hAnsi="Helvetica Neue"/>
                <w:b/>
                <w:sz w:val="17"/>
              </w:rPr>
              <w:t>Finding</w:t>
            </w:r>
          </w:p>
        </w:tc>
        <w:tc>
          <w:tcPr>
            <w:tcW w:type="dxa" w:w="2520"/>
            <w:vAlign w:val="center"/>
            <w:shd w:fill="D9E2F3"/>
          </w:tcPr>
          <w:p>
            <w:pPr>
              <w:spacing w:after="40"/>
            </w:pPr>
            <w:r/>
            <w:r>
              <w:rPr>
                <w:rFonts w:ascii="Helvetica Neue" w:hAnsi="Helvetica Neue"/>
                <w:b/>
                <w:sz w:val="17"/>
              </w:rPr>
              <w:t>Attribution posture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Gemma intersection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Same generic pick, maximal delivery, missing-recipient, and extreme coverage failures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Investigate stack or shared contract seams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Nemotron variance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KB wording omissions, partial report closure, planner coverage, and trace inconsistency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Model/backend or observability candidates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Fake recovery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Targeted fail-once navigation passed for Nemotron and Gemma cloud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Executor recovery seam remains viable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Environment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11/11 for all models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No broad grounding outage supported</w:t>
            </w:r>
          </w:p>
        </w:tc>
      </w:tr>
    </w:tbl>
    <w:p/>
    <w:p>
      <w:r>
        <w:br w:type="page"/>
      </w:r>
    </w:p>
    <w:p>
      <w:pPr>
        <w:pStyle w:val="Heading1"/>
      </w:pPr>
      <w:r>
        <w:t>Seam hypothesis adjudication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76"/>
            <w:vAlign w:val="center"/>
            <w:shd w:fill="D9E2F3"/>
          </w:tcPr>
          <w:p>
            <w:pPr>
              <w:spacing w:after="40"/>
            </w:pPr>
            <w:r/>
            <w:r>
              <w:rPr>
                <w:rFonts w:ascii="Helvetica Neue" w:hAnsi="Helvetica Neue"/>
                <w:b/>
                <w:sz w:val="17"/>
              </w:rPr>
              <w:t>Hypothesis</w:t>
            </w:r>
          </w:p>
        </w:tc>
        <w:tc>
          <w:tcPr>
            <w:tcW w:type="dxa" w:w="5328"/>
            <w:vAlign w:val="center"/>
            <w:shd w:fill="D9E2F3"/>
          </w:tcPr>
          <w:p>
            <w:pPr>
              <w:spacing w:after="40"/>
            </w:pPr>
            <w:r/>
            <w:r>
              <w:rPr>
                <w:rFonts w:ascii="Helvetica Neue" w:hAnsi="Helvetica Neue"/>
                <w:b/>
                <w:sz w:val="17"/>
              </w:rPr>
              <w:t>Evidence</w:t>
            </w:r>
          </w:p>
        </w:tc>
        <w:tc>
          <w:tcPr>
            <w:tcW w:type="dxa" w:w="2088"/>
            <w:vAlign w:val="center"/>
            <w:shd w:fill="D9E2F3"/>
          </w:tcPr>
          <w:p>
            <w:pPr>
              <w:spacing w:after="40"/>
            </w:pPr>
            <w:r/>
            <w:r>
              <w:rPr>
                <w:rFonts w:ascii="Helvetica Neue" w:hAnsi="Helvetica Neue"/>
                <w:b/>
                <w:sz w:val="17"/>
              </w:rPr>
              <w:t>Status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H-01 runtime wiring</w:t>
            </w:r>
          </w:p>
        </w:tc>
        <w:tc>
          <w:tcPr>
            <w:tcW w:type="dxa" w:w="5328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All Ollama preflights passed; vLLM unavailable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Ollama route ruled out; vLLM blocked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H-02 model policy</w:t>
            </w:r>
          </w:p>
        </w:tc>
        <w:tc>
          <w:tcPr>
            <w:tcW w:type="dxa" w:w="5328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Gemma intersection stable; Nemotron adds variance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Supported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H-03 grounding and KB</w:t>
            </w:r>
          </w:p>
        </w:tc>
        <w:tc>
          <w:tcPr>
            <w:tcW w:type="dxa" w:w="5328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Environment stable; Nemotron speech terms varied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Broad outage rejected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H-04 executor and recovery</w:t>
            </w:r>
          </w:p>
        </w:tc>
        <w:tc>
          <w:tcPr>
            <w:tcW w:type="dxa" w:w="5328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Fail-once navigation passed with replan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Core supported; closure open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H-05 observability</w:t>
            </w:r>
          </w:p>
        </w:tc>
        <w:tc>
          <w:tcPr>
            <w:tcW w:type="dxa" w:w="5328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Trace inconsistency and global timeouts retained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Active limitation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H-06 external service</w:t>
            </w:r>
          </w:p>
        </w:tc>
        <w:tc>
          <w:tcPr>
            <w:tcW w:type="dxa" w:w="5328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vLLM unavailable; Ollama preflight stable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Backend condition confirmed</w:t>
            </w:r>
          </w:p>
        </w:tc>
      </w:tr>
    </w:tbl>
    <w:p/>
    <w:p>
      <w:r>
        <w:t>The shared Gemma failure shape is the key adversarial result. It prevents a simple model-quality explanation and directs the next investigation toward planner admission, target normalization, clarification speech, and high-composition plan coverage. The Nemotron-only cases remain candidate model variance until the same prompts are repeated with stable trace and speech correlation.</w:t>
      </w:r>
    </w:p>
    <w:p>
      <w:pPr>
        <w:pStyle w:val="Heading1"/>
      </w:pPr>
      <w:r>
        <w:t>Suggested TFM wording</w:t>
      </w:r>
    </w:p>
    <w:p>
      <w:r>
        <w:t>The evaluation shows that the ROS4HRI stack preserves its principal ownership and execution contracts across the tested language-model backends. Generated target selection, multi-step plan coverage, clarification wording, and terminal report closure vary with the selected model. Shared failures across the two Gemma variants were retained as stack-seam hypotheses rather than attributed to model quality alone.</w:t>
      </w:r>
    </w:p>
    <w:p>
      <w:pPr>
        <w:pStyle w:val="Heading1"/>
      </w:pPr>
      <w:r>
        <w:t>Reproducibility and handoff</w:t>
      </w:r>
    </w:p>
    <w:p>
      <w:pPr>
        <w:pStyle w:val="ReportBullet"/>
        <w:spacing w:after="60"/>
      </w:pPr>
      <w:r>
        <w:t>• Use analysis/comparison_summary.json for model-level tables and shared-failure intersections.</w:t>
      </w:r>
    </w:p>
    <w:p>
      <w:pPr>
        <w:pStyle w:val="ReportBullet"/>
        <w:spacing w:after="60"/>
      </w:pPr>
      <w:r>
        <w:t>• Use analysis/dataset.csv for spreadsheet analysis and analysis/dataset.jsonl for programmatic TFM processing.</w:t>
      </w:r>
    </w:p>
    <w:p>
      <w:pPr>
        <w:pStyle w:val="ReportBullet"/>
        <w:spacing w:after="60"/>
      </w:pPr>
      <w:r>
        <w:t>• Use raw per-model JSON when quoting exact speech, route, target, lineage, or timing evidence.</w:t>
      </w:r>
    </w:p>
    <w:p>
      <w:pPr>
        <w:pStyle w:val="ReportBullet"/>
        <w:spacing w:after="60"/>
      </w:pPr>
      <w:r>
        <w:t>• Do not merge deterministic source-test counts into the live runtime stress denominator.</w:t>
      </w:r>
    </w:p>
    <w:p>
      <w:pPr>
        <w:pStyle w:val="ReportBullet"/>
        <w:spacing w:after="60"/>
      </w:pPr>
      <w:r>
        <w:t>• When vLLM returns a stable model identity, repeat the same case matrix before promoting it as a replacement.</w:t>
      </w:r>
    </w:p>
    <w:p>
      <w:r>
        <w:br w:type="page"/>
      </w:r>
    </w:p>
    <w:p>
      <w:pPr>
        <w:pStyle w:val="Heading1"/>
      </w:pPr>
      <w:r>
        <w:t>Appendix: provenance</w:t>
      </w:r>
    </w:p>
    <w:p>
      <w:r>
        <w:t>The evidence pack preserves the endpoint probe, frozen image identity, startup snapshots, per-model questionnaire outputs, derived tables, methodology, and seam audit. The comparison is intentionally bounded to one frozen run per model. Repeated sensitive cells are the next acceptance gate for a model replacement.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72"/>
            <w:vAlign w:val="center"/>
            <w:shd w:fill="D9E2F3"/>
          </w:tcPr>
          <w:p>
            <w:pPr>
              <w:spacing w:after="40"/>
            </w:pPr>
            <w:r/>
            <w:r>
              <w:rPr>
                <w:rFonts w:ascii="Helvetica Neue" w:hAnsi="Helvetica Neue"/>
                <w:b/>
                <w:sz w:val="17"/>
              </w:rPr>
              <w:t>Artifact</w:t>
            </w:r>
          </w:p>
        </w:tc>
        <w:tc>
          <w:tcPr>
            <w:tcW w:type="dxa" w:w="6120"/>
            <w:vAlign w:val="center"/>
            <w:shd w:fill="D9E2F3"/>
          </w:tcPr>
          <w:p>
            <w:pPr>
              <w:spacing w:after="40"/>
            </w:pPr>
            <w:r/>
            <w:r>
              <w:rPr>
                <w:rFonts w:ascii="Helvetica Neue" w:hAnsi="Helvetica Neue"/>
                <w:b/>
                <w:sz w:val="17"/>
              </w:rPr>
              <w:t>Purpose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REPORT.md and REPORT.html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Readable runtime review and thesis-facing discussion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analysis/comparison_summary.json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Model, suite, startup, and shared-failure summary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analysis/dataset.csv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Tabular per-case dataset with provenance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analysis/dataset.jsonl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Machine-readable per-case dataset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raw/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Authoritative JSON outputs for all model cells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../model_invariance_seam_audit_2026-07-21.md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/>
            <w:r>
              <w:rPr>
                <w:rFonts w:ascii="Helvetica Neue" w:hAnsi="Helvetica Neue"/>
                <w:b w:val="0"/>
                <w:sz w:val="16"/>
              </w:rPr>
              <w:t>Hypothesis registry and adversarial attribution</w:t>
            </w:r>
          </w:p>
        </w:tc>
      </w:tr>
    </w:tbl>
    <w:p/>
    <w:sectPr>
      <w:headerReference r:id="rId9" w:type="default"/>
      <w:footerReference r:id="rId10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8.00000000000006" w:lineRule="auto"/>
      <w:ind w:left="0" w:right="0" w:firstLine="0"/>
      <w:jc w:val="righ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7a7a7a"/>
        <w:sz w:val="18"/>
        <w:szCs w:val="18"/>
        <w:u w:val="none"/>
        <w:shd w:fill="auto" w:val="clear"/>
        <w:vertAlign w:val="baseline"/>
      </w:rPr>
    </w:pPr>
    <w: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7a7a7a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51">
    <w:pPr>
      <w:rPr/>
    </w:pPr>
    <w:r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d9d9d9" w:space="5" w:sz="4" w:val="single"/>
        <w:right w:space="0" w:sz="0" w:val="nil"/>
        <w:between w:space="0" w:sz="0" w:val="nil"/>
      </w:pBdr>
      <w:shd w:fill="auto" w:val="clear"/>
      <w:spacing w:after="80" w:before="0" w:line="278.00000000000006" w:lineRule="auto"/>
      <w:ind w:left="0" w:right="0" w:firstLine="0"/>
      <w:jc w:val="left"/>
      <w:rPr>
        <w:color w:val="7a7a7a"/>
        <w:sz w:val="17"/>
        <w:szCs w:val="17"/>
      </w:rPr>
    </w:pPr>
    <w:r>
      <w:rPr>
        <w:rtl w:val="0"/>
      </w:rPr>
    </w:r>
  </w:p>
  <w:sdt>
    <w:sdtPr>
      <w:lock w:val="contentLocked"/>
      <w:id w:val="2109222018"/>
      <w:tag w:val="goog_rdk_0"/>
    </w:sdtPr>
    <w:sdtContent>
      <w:tbl>
        <w:tblPr>
          <w:tblStyle w:val="Table3"/>
          <w:tblW w:w="9360.0" w:type="dxa"/>
          <w:jc w:val="left"/>
          <w:tblLayout w:type="fixed"/>
          <w:tblLook w:val="0600"/>
        </w:tblPr>
        <w:tblGrid>
          <w:gridCol w:w="4680"/>
          <w:gridCol w:w="4680"/>
          <w:tblGridChange w:id="0">
            <w:tblGrid>
              <w:gridCol w:w="4680"/>
              <w:gridCol w:w="4680"/>
            </w:tblGrid>
          </w:tblGridChange>
        </w:tblGrid>
        <w:tr>
          <w:trPr>
            <w:cantSplit w:val="1"/>
            <w:trHeight w:val="325.74149576822384" w:hRule="atLeast"/>
            <w:tblHeader w:val="0"/>
          </w:trPr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14:paraId="0000004C">
              <w:p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80" w:line="278.00000000000006" w:lineRule="auto"/>
                <w:rPr>
                  <w:color w:val="7a7a7a"/>
                  <w:sz w:val="17"/>
                  <w:szCs w:val="17"/>
                </w:rPr>
              </w:pPr>
              <w:r>
                <w:rPr>
                  <w:color w:val="7a7a7a"/>
                  <w:sz w:val="17"/>
                  <w:szCs w:val="17"/>
                  <w:rtl w:val="0"/>
                </w:rPr>
                <w:t xml:space="preserve">Model Invariance Runtime Qualification</w:t>
              </w:r>
            </w:p>
            <w:p w14:paraId="0000004D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>
                  <w:color w:val="7a7a7a"/>
                  <w:sz w:val="17"/>
                  <w:szCs w:val="17"/>
                </w:rPr>
              </w:pPr>
              <w:r>
                <w:rPr>
                  <w:rtl w:val="0"/>
                </w:rPr>
              </w:r>
            </w:p>
          </w:tc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14:paraId="0000004E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right"/>
                <w:rPr>
                  <w:color w:val="7a7a7a"/>
                  <w:sz w:val="17"/>
                  <w:szCs w:val="17"/>
                </w:rPr>
              </w:pPr>
              <w:r>
                <w:rPr>
                  <w:color w:val="7a7a7a"/>
                  <w:sz w:val="17"/>
                  <w:szCs w:val="17"/>
                  <w:rtl w:val="0"/>
                </w:rPr>
                <w:t xml:space="preserve">21 July 2026</w:t>
              </w:r>
            </w:p>
          </w:tc>
        </w:tr>
      </w:tbl>
    </w:sdtContent>
  </w:sdt>
  <w:p w14:paraId="0000004F">
    <w:pPr>
      <w:rPr/>
    </w:pPr>
    <w:r>
      <w:rPr>
        <w:rtl w:val="0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>
        <w:rFonts w:ascii="Helvetica Neue" w:cs="Helvetica Neue" w:eastAsia="Helvetica Neue" w:hAnsi="Helvetica Neu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270"/>
      </w:pPr>
      <w:rPr>
        <w:rFonts w:ascii="Helvetica Neue" w:cs="Helvetica Neue" w:eastAsia="Helvetica Neue" w:hAnsi="Helvetica Neu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Helvetica Neue" w:hAnsi="Helvetica Neue"/>
      <w:sz w:val="21"/>
    </w:rPr>
  </w:style>
  <w:style w:type="paragraph" w:styleId="Heading1">
    <w:name w:val="heading 1"/>
    <w:basedOn w:val="Normal"/>
    <w:next w:val="Normal"/>
    <w:pPr>
      <w:keepNext w:val="1"/>
      <w:keepLines w:val="1"/>
      <w:spacing w:after="200" w:before="360" w:lineRule="auto"/>
    </w:pPr>
    <w:rPr>
      <w:rFonts w:ascii="Helvetica Neue" w:cs="Helvetica Neue" w:eastAsia="Helvetica Neue" w:hAnsi="Helvetica Neue"/>
      <w:b w:val="0"/>
      <w:bCs w:val="0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80" w:lineRule="auto"/>
    </w:pPr>
    <w:rPr>
      <w:rFonts w:ascii="Helvetica Neue" w:cs="Helvetica Neue" w:eastAsia="Helvetica Neue" w:hAnsi="Helvetica Neue"/>
      <w:b w:val="0"/>
      <w:bCs w:val="0"/>
      <w:color w:val="000000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00" w:lineRule="auto"/>
    </w:pPr>
    <w:rPr>
      <w:rFonts w:ascii="Helvetica Neue" w:cs="Helvetica Neue" w:eastAsia="Helvetica Neue" w:hAnsi="Helvetica Neue"/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100" w:line="278.00000000000006" w:lineRule="auto"/>
    </w:pPr>
    <w:rPr>
      <w:rFonts w:ascii="Helvetica Neue" w:hAnsi="Helvetica Neue"/>
      <w:b w:val="1"/>
      <w:bCs w:val="1"/>
      <w:sz w:val="80"/>
      <w:szCs w:val="8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customStyle="1" w:styleId="ReportBullet">
    <w:name w:val="Report Bullet"/>
    <w:basedOn w:val="Normal"/>
    <w:pPr>
      <w:ind w:left="360" w:hanging="216"/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footer" Target="footer2.xml"/><Relationship Id="rId6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