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1"/>
        <w:spacing w:line="240" w:lineRule="auto" w:before="0" w:after="0"/>
      </w:pPr>
      <w:bookmarkStart w:name="3060-1621846615933" w:id="1"/>
      <w:bookmarkEnd w:id="1"/>
    </w:p>
    <w:p>
      <w:pPr>
        <w:pStyle w:val="1"/>
        <w:spacing w:line="240" w:lineRule="auto" w:before="0" w:after="0"/>
      </w:pPr>
      <w:bookmarkStart w:name="D89x-1709365030880" w:id="2"/>
      <w:bookmarkEnd w:id="2"/>
      <w:r>
        <w:rPr>
          <w:rFonts w:ascii="微软雅黑" w:hAnsi="微软雅黑" w:cs="微软雅黑" w:eastAsia="微软雅黑"/>
          <w:b w:val="true"/>
          <w:sz w:val="42"/>
        </w:rPr>
        <w:t>借贷类型</w:t>
      </w:r>
    </w:p>
    <w:p>
      <w:pPr>
        <w:pStyle w:val="2"/>
        <w:spacing w:line="240" w:lineRule="auto" w:before="0" w:after="0"/>
      </w:pPr>
      <w:bookmarkStart w:name="PyuC-1709365006223" w:id="3"/>
      <w:bookmarkEnd w:id="3"/>
      <w:r>
        <w:rPr>
          <w:rFonts w:ascii="微软雅黑" w:hAnsi="微软雅黑" w:cs="微软雅黑" w:eastAsia="微软雅黑"/>
          <w:b w:val="true"/>
          <w:sz w:val="30"/>
        </w:rPr>
        <w:t>6类个人借贷账户</w:t>
      </w:r>
    </w:p>
    <w:p>
      <w:pPr>
        <w:spacing w:line="313" w:lineRule="auto"/>
        <w:jc w:val="both"/>
      </w:pPr>
      <w:bookmarkStart w:name="gTxL-1662854385124" w:id="4"/>
      <w:bookmarkEnd w:id="4"/>
      <w:r>
        <w:rPr>
          <w:color w:val="000000"/>
        </w:rPr>
        <w:t xml:space="preserve">非循环贷账户（D1）：用于描述非循环贷款、融资租赁业务，以及部分证券类业务等。 </w:t>
      </w:r>
    </w:p>
    <w:p>
      <w:pPr>
        <w:spacing w:line="313" w:lineRule="auto"/>
        <w:jc w:val="both"/>
      </w:pPr>
      <w:bookmarkStart w:name="BvN0-1632741670715" w:id="5"/>
      <w:bookmarkEnd w:id="5"/>
      <w:r>
        <w:rPr>
          <w:color w:val="000000"/>
        </w:rPr>
        <w:t>循环贷账户（R1）：用于描述循环额度下还款统一管理（即每月根据当前累计借款余额计算出一个还款金额通知借款人、借款人统一归还）的贷款，也可用于汇总报送循环授信额度下逐笔管理的所有贷款。
</w:t>
      </w:r>
    </w:p>
    <w:p>
      <w:pPr>
        <w:spacing w:line="313" w:lineRule="auto"/>
        <w:jc w:val="both"/>
      </w:pPr>
      <w:bookmarkStart w:name="dYVF-1632741670715" w:id="6"/>
      <w:bookmarkEnd w:id="6"/>
      <w:r>
        <w:rPr>
          <w:color w:val="000000"/>
        </w:rPr>
        <w:t>贷记卡账户（R2）：用于描述借款人使用贷记卡类产品的透支及还款行为。
</w:t>
      </w:r>
    </w:p>
    <w:p>
      <w:pPr>
        <w:spacing w:line="313" w:lineRule="auto"/>
        <w:jc w:val="both"/>
      </w:pPr>
      <w:bookmarkStart w:name="O84j-1632741670715" w:id="7"/>
      <w:bookmarkEnd w:id="7"/>
      <w:r>
        <w:rPr>
          <w:color w:val="000000"/>
        </w:rPr>
        <w:t>准贷记卡账户（R3）：用于描述借款人使用准贷记卡类产品的透支及还款行为。
</w:t>
      </w:r>
    </w:p>
    <w:p>
      <w:pPr>
        <w:spacing w:line="313" w:lineRule="auto"/>
        <w:jc w:val="both"/>
      </w:pPr>
      <w:bookmarkStart w:name="DPk7-1632741670715" w:id="8"/>
      <w:bookmarkEnd w:id="8"/>
      <w:r>
        <w:rPr>
          <w:color w:val="000000"/>
        </w:rPr>
        <w:t>循环额度下分账户（R4）：用于描述循环授信额度下逐笔管理（即需要针对每一笔借款分开归还）的贷款。
</w:t>
      </w:r>
    </w:p>
    <w:p>
      <w:pPr>
        <w:spacing w:line="313" w:lineRule="auto"/>
        <w:jc w:val="both"/>
      </w:pPr>
      <w:bookmarkStart w:name="d1mQ-1632741670715" w:id="9"/>
      <w:bookmarkEnd w:id="9"/>
      <w:r>
        <w:rPr>
          <w:color w:val="000000"/>
        </w:rPr>
        <w:t>催收账户（C1）：用于描述剩余本息均处于催收状态（即债权人要求债务人尽快归还全部借款）的借款。</w:t>
      </w:r>
    </w:p>
    <w:p>
      <w:pPr>
        <w:spacing w:line="313" w:lineRule="auto"/>
        <w:jc w:val="both"/>
      </w:pPr>
      <w:bookmarkStart w:name="sN69-1662854791001" w:id="10"/>
      <w:bookmarkEnd w:id="10"/>
    </w:p>
    <w:p>
      <w:pPr>
        <w:spacing w:line="313" w:lineRule="auto"/>
        <w:jc w:val="both"/>
      </w:pPr>
      <w:bookmarkStart w:name="XqCH-1662854797023" w:id="11"/>
      <w:bookmarkEnd w:id="11"/>
      <w:r>
        <w:rPr>
          <w:color w:val="000000"/>
        </w:rPr>
        <w:t>贷记卡</w:t>
      </w:r>
    </w:p>
    <w:p>
      <w:pPr>
        <w:spacing w:line="322" w:lineRule="auto"/>
        <w:jc w:val="both"/>
      </w:pPr>
      <w:bookmarkStart w:name="U6Zb-1662854791249" w:id="12"/>
      <w:bookmarkEnd w:id="12"/>
      <w:r>
        <w:rPr>
          <w:color w:val="333333"/>
          <w:sz w:val="24"/>
          <w:highlight w:val="white"/>
        </w:rPr>
        <w:t>贷记卡又称信用卡，是指银行发行的、并给予持卡人一定信用额度、持卡人可在信用额度内先消费后还款的银行卡。其形式是一张正面印有发卡银行名称、有效期、号码、持卡人姓名等内容，背面有磁条、签名条的卡片。</w:t>
      </w:r>
    </w:p>
    <w:p>
      <w:pPr>
        <w:spacing w:line="322" w:lineRule="auto"/>
        <w:jc w:val="both"/>
      </w:pPr>
      <w:bookmarkStart w:name="KTIV-1631850197249" w:id="13"/>
      <w:bookmarkEnd w:id="13"/>
    </w:p>
    <w:p>
      <w:pPr>
        <w:spacing w:line="322" w:lineRule="auto"/>
        <w:jc w:val="both"/>
      </w:pPr>
      <w:bookmarkStart w:name="hYqE-1662854808588" w:id="14"/>
      <w:bookmarkEnd w:id="14"/>
      <w:r>
        <w:rPr>
          <w:color w:val="333333"/>
          <w:highlight w:val="white"/>
        </w:rPr>
        <w:t>准贷记卡</w:t>
      </w:r>
    </w:p>
    <w:p>
      <w:pPr>
        <w:spacing w:line="322" w:lineRule="auto"/>
        <w:jc w:val="both"/>
      </w:pPr>
      <w:bookmarkStart w:name="DYm1-1631850197464" w:id="15"/>
      <w:bookmarkEnd w:id="15"/>
      <w:r>
        <w:rPr>
          <w:color w:val="333333"/>
          <w:sz w:val="24"/>
          <w:highlight w:val="white"/>
        </w:rPr>
        <w:t>准贷记卡（SemiCreditCard或Quasi-credit card ）：传统意义上的准贷记卡，是指</w:t>
      </w:r>
      <w:hyperlink r:id="rId3">
        <w:r>
          <w:rPr>
            <w:color w:val="333333"/>
            <w:sz w:val="24"/>
            <w:highlight w:val="white"/>
          </w:rPr>
          <w:t>持卡人</w:t>
        </w:r>
      </w:hyperlink>
      <w:r>
        <w:rPr>
          <w:color w:val="333333"/>
          <w:sz w:val="24"/>
          <w:highlight w:val="white"/>
        </w:rPr>
        <w:t>须先按</w:t>
      </w:r>
      <w:hyperlink r:id="rId4">
        <w:r>
          <w:rPr>
            <w:color w:val="333333"/>
            <w:sz w:val="24"/>
            <w:highlight w:val="white"/>
          </w:rPr>
          <w:t>发卡银行</w:t>
        </w:r>
      </w:hyperlink>
      <w:r>
        <w:rPr>
          <w:color w:val="333333"/>
          <w:sz w:val="24"/>
          <w:highlight w:val="white"/>
        </w:rPr>
        <w:t>要求交存一定金额的</w:t>
      </w:r>
      <w:hyperlink r:id="rId5">
        <w:r>
          <w:rPr>
            <w:color w:val="333333"/>
            <w:sz w:val="24"/>
            <w:highlight w:val="white"/>
          </w:rPr>
          <w:t>备用金</w:t>
        </w:r>
      </w:hyperlink>
      <w:r>
        <w:rPr>
          <w:color w:val="333333"/>
          <w:sz w:val="24"/>
          <w:highlight w:val="white"/>
        </w:rPr>
        <w:t>，当备用金帐户余额不足支付时，可在发卡银行规定的</w:t>
      </w:r>
      <w:hyperlink r:id="rId6">
        <w:r>
          <w:rPr>
            <w:color w:val="333333"/>
            <w:sz w:val="24"/>
            <w:highlight w:val="white"/>
          </w:rPr>
          <w:t>信用额度</w:t>
        </w:r>
      </w:hyperlink>
      <w:r>
        <w:rPr>
          <w:color w:val="333333"/>
          <w:sz w:val="24"/>
          <w:highlight w:val="white"/>
        </w:rPr>
        <w:t>内透支的信用卡，但透支的部分自透支当天起计收利息，不享受免息期。</w:t>
      </w:r>
    </w:p>
    <w:p>
      <w:pPr>
        <w:spacing w:line="313" w:lineRule="auto"/>
        <w:jc w:val="both"/>
      </w:pPr>
      <w:bookmarkStart w:name="SBYu-1662854588745" w:id="16"/>
      <w:bookmarkEnd w:id="16"/>
    </w:p>
    <w:p>
      <w:pPr>
        <w:pStyle w:val="2"/>
        <w:spacing w:line="313" w:lineRule="auto" w:before="0" w:after="0"/>
        <w:jc w:val="both"/>
      </w:pPr>
      <w:bookmarkStart w:name="Ilcp-1662854588983" w:id="17"/>
      <w:bookmarkEnd w:id="17"/>
      <w:r>
        <w:rPr>
          <w:rFonts w:ascii="微软雅黑" w:hAnsi="微软雅黑" w:cs="微软雅黑" w:eastAsia="微软雅黑"/>
          <w:b w:val="true"/>
          <w:color w:val="000000"/>
          <w:sz w:val="30"/>
        </w:rPr>
        <w:t>循环贷</w:t>
      </w:r>
    </w:p>
    <w:p>
      <w:pPr/>
      <w:bookmarkStart w:name="mDXc-1632742096584" w:id="18"/>
      <w:bookmarkEnd w:id="18"/>
      <w:r>
        <w:rPr>
          <w:rFonts w:ascii="Arial" w:hAnsi="Arial" w:cs="Arial" w:eastAsia="Arial"/>
          <w:color w:val="333333"/>
          <w:sz w:val="24"/>
        </w:rPr>
        <w:t>循环贷是指客户将商品住房抵押给银行，可获得一定的贷款额度，在房产抵押期限内客户可分次提款、循环使用。</w:t>
      </w:r>
    </w:p>
    <w:p>
      <w:pPr/>
      <w:bookmarkStart w:name="4jkv-1632742108015" w:id="19"/>
      <w:bookmarkEnd w:id="19"/>
    </w:p>
    <w:p>
      <w:pPr>
        <w:pStyle w:val="2"/>
        <w:spacing w:line="313" w:lineRule="auto" w:before="0" w:after="0"/>
        <w:jc w:val="both"/>
      </w:pPr>
      <w:bookmarkStart w:name="FtmF-1662854589678" w:id="20"/>
      <w:bookmarkEnd w:id="20"/>
      <w:r>
        <w:rPr>
          <w:rFonts w:ascii="微软雅黑" w:hAnsi="微软雅黑" w:cs="微软雅黑" w:eastAsia="微软雅黑"/>
          <w:b w:val="true"/>
          <w:color w:val="000000"/>
          <w:sz w:val="30"/>
        </w:rPr>
        <w:t>非循环贷</w:t>
      </w:r>
    </w:p>
    <w:p>
      <w:pPr/>
      <w:bookmarkStart w:name="4G9S-1636249474377" w:id="21"/>
      <w:bookmarkEnd w:id="21"/>
      <w:r>
        <w:rPr>
          <w:rFonts w:ascii="Arial" w:hAnsi="Arial" w:cs="Arial" w:eastAsia="Arial"/>
          <w:color w:val="333333"/>
          <w:sz w:val="24"/>
        </w:rPr>
        <w:t>非循环贷是指无法循环使用，款项批下来，客户使用完就没有了，不可反复支用，若想继续借款，只能到期后还完款，重新进行申请的贷款。</w:t>
      </w:r>
    </w:p>
    <w:p>
      <w:pPr/>
      <w:bookmarkStart w:name="8iTk-1636249475144" w:id="22"/>
      <w:bookmarkEnd w:id="22"/>
    </w:p>
    <w:p>
      <w:pPr>
        <w:pStyle w:val="2"/>
        <w:spacing w:line="313" w:lineRule="auto" w:before="0" w:after="0"/>
        <w:jc w:val="both"/>
      </w:pPr>
      <w:bookmarkStart w:name="nAim-1662854589679" w:id="23"/>
      <w:bookmarkEnd w:id="23"/>
      <w:r>
        <w:rPr>
          <w:rFonts w:ascii="微软雅黑" w:hAnsi="微软雅黑" w:cs="微软雅黑" w:eastAsia="微软雅黑"/>
          <w:b w:val="true"/>
          <w:color w:val="000000"/>
          <w:sz w:val="30"/>
        </w:rPr>
        <w:t>流贷</w:t>
      </w:r>
    </w:p>
    <w:p>
      <w:pPr>
        <w:spacing w:line="313" w:lineRule="auto"/>
        <w:jc w:val="both"/>
      </w:pPr>
      <w:bookmarkStart w:name="Agzn-1634726028859" w:id="24"/>
      <w:bookmarkEnd w:id="24"/>
      <w:r>
        <w:rPr>
          <w:color w:val="333333"/>
          <w:highlight w:val="white"/>
        </w:rPr>
        <w:t>流贷就是</w:t>
      </w:r>
      <w:hyperlink r:id="rId7">
        <w:r>
          <w:rPr>
            <w:color w:val="003884"/>
          </w:rPr>
          <w:t>流动资金贷款</w:t>
        </w:r>
      </w:hyperlink>
      <w:r>
        <w:rPr>
          <w:color w:val="333333"/>
          <w:highlight w:val="white"/>
        </w:rPr>
        <w:t>，它既有抵押形式的流贷，也有信用形式的流贷。看信用，看企业经营的好坏，现金流是否稳定，也就是企业销售是否顺畅 。当一个企业经营的好，现金流稳定，那么虽然没有抵押，但是依然能保证按时还款。有现金流贷款的话，可以解决很多</w:t>
      </w:r>
      <w:hyperlink r:id="rId8">
        <w:r>
          <w:rPr>
            <w:color w:val="003884"/>
          </w:rPr>
          <w:t>中小企业贷款</w:t>
        </w:r>
      </w:hyperlink>
      <w:r>
        <w:rPr>
          <w:color w:val="333333"/>
          <w:highlight w:val="white"/>
        </w:rPr>
        <w:t>难的问题，因为大多数这类企业是没有太多抵押物去申请贷款的。</w:t>
      </w:r>
    </w:p>
    <w:p>
      <w:pPr>
        <w:spacing w:line="313" w:lineRule="auto"/>
        <w:jc w:val="both"/>
      </w:pPr>
      <w:bookmarkStart w:name="b6aT-1634726035205" w:id="25"/>
      <w:bookmarkEnd w:id="25"/>
      <w:r>
        <w:rPr/>
        <w:t>种类</w:t>
      </w:r>
    </w:p>
    <w:p>
      <w:pPr>
        <w:spacing w:line="313" w:lineRule="auto"/>
        <w:jc w:val="both"/>
      </w:pPr>
      <w:bookmarkStart w:name="Kdsl-1634726035440" w:id="26"/>
      <w:bookmarkEnd w:id="26"/>
      <w:r>
        <w:rPr/>
        <w:t>1、临时</w:t>
      </w:r>
      <w:hyperlink r:id="rId9">
        <w:r>
          <w:rPr>
            <w:color w:val="003884"/>
          </w:rPr>
          <w:t>流动资金贷款</w:t>
        </w:r>
      </w:hyperlink>
      <w:r>
        <w:rPr/>
        <w:t>：解决企业临时性进货的资金需求和弥补其他支付性资金需求；</w:t>
      </w:r>
    </w:p>
    <w:p>
      <w:pPr>
        <w:spacing w:line="313" w:lineRule="auto"/>
        <w:jc w:val="both"/>
      </w:pPr>
      <w:bookmarkStart w:name="1k8a-1634726035440" w:id="27"/>
      <w:bookmarkEnd w:id="27"/>
      <w:r>
        <w:rPr/>
        <w:t>2、</w:t>
      </w:r>
      <w:hyperlink r:id="rId10">
        <w:r>
          <w:rPr>
            <w:color w:val="003884"/>
          </w:rPr>
          <w:t>短期流动资金贷款</w:t>
        </w:r>
      </w:hyperlink>
      <w:r>
        <w:rPr/>
        <w:t>（一年以内）：用于企业正常生产经营周转资金不足；</w:t>
      </w:r>
    </w:p>
    <w:p>
      <w:pPr>
        <w:spacing w:line="313" w:lineRule="auto"/>
        <w:jc w:val="both"/>
      </w:pPr>
      <w:bookmarkStart w:name="8IUI-1634726035440" w:id="28"/>
      <w:bookmarkEnd w:id="28"/>
      <w:r>
        <w:rPr/>
        <w:t>3、中期流动资金贷款（一到两年）：满足企业正常生产经营中经常占用资金的需求。</w:t>
      </w:r>
    </w:p>
    <w:p>
      <w:pPr>
        <w:spacing w:line="313" w:lineRule="auto"/>
        <w:jc w:val="both"/>
      </w:pPr>
      <w:bookmarkStart w:name="JM9l-1662854528676" w:id="29"/>
      <w:bookmarkEnd w:id="29"/>
    </w:p>
    <w:p>
      <w:pPr>
        <w:spacing w:line="313" w:lineRule="auto"/>
        <w:jc w:val="both"/>
      </w:pPr>
      <w:bookmarkStart w:name="F1MB-1662854683223" w:id="30"/>
      <w:bookmarkEnd w:id="30"/>
    </w:p>
    <w:p>
      <w:pPr>
        <w:pStyle w:val="2"/>
        <w:spacing w:line="240" w:lineRule="auto" w:before="0" w:after="0"/>
      </w:pPr>
      <w:bookmarkStart w:name="Wk47-1662854661702" w:id="31"/>
      <w:bookmarkEnd w:id="31"/>
      <w:r>
        <w:rPr>
          <w:rFonts w:ascii="微软雅黑" w:hAnsi="微软雅黑" w:cs="微软雅黑" w:eastAsia="微软雅黑"/>
          <w:b w:val="true"/>
          <w:color w:val="000000"/>
          <w:sz w:val="30"/>
        </w:rPr>
        <w:t>助贷和联合贷</w:t>
      </w:r>
    </w:p>
    <w:p>
      <w:pPr>
        <w:spacing w:line="313" w:lineRule="auto"/>
        <w:jc w:val="both"/>
      </w:pPr>
      <w:bookmarkStart w:name="RJsJ-1637150074074" w:id="32"/>
      <w:bookmarkEnd w:id="32"/>
      <w:r>
        <w:rPr/>
        <w:t>既然常常讲助贷跟联合贷款，那从目前的的业务来讲，助贷跟联合贷款的区别点在哪？其实从上面第一点都可以看出来，他们最重要的区别在于助贷方是否有参与出资。助贷业务中，助贷平台一般不提供出资。助贷也是资金方和助贷平台为目标客户提供贷款服务的合作方式。这些助贷平台主要做的内容有：1.助贷平台帮助借款客户从多个金融机构中找到符合客户风险特征的资金2.助贷平台帮助金融机构寻找客户发放贷款，并收取服务费。</w:t>
      </w:r>
    </w:p>
    <w:p>
      <w:pPr>
        <w:spacing w:line="313" w:lineRule="auto"/>
        <w:jc w:val="both"/>
      </w:pPr>
      <w:bookmarkStart w:name="oSfG-1637150081482" w:id="33"/>
      <w:bookmarkEnd w:id="33"/>
      <w:r>
        <w:rPr/>
        <w:t>那联合贷款跟助贷的区别，也就是出资比例的问题。如果助贷平台再推荐用户的基础上，拥有贷款资金、与金融机构按比例共同提供贷款，则叫联合贷款；目前市面主流的联合贷款模式是“银行+小额贷款公司”模式，由一家银行与一家金融科技公司（一般持有小贷牌照）共同放款。</w:t>
      </w:r>
    </w:p>
    <w:p>
      <w:pPr>
        <w:spacing w:line="313" w:lineRule="auto"/>
        <w:jc w:val="both"/>
      </w:pPr>
      <w:bookmarkStart w:name="5SCT-1637150200293" w:id="34"/>
      <w:bookmarkEnd w:id="34"/>
    </w:p>
    <w:p>
      <w:pPr>
        <w:spacing w:line="313" w:lineRule="auto"/>
        <w:jc w:val="both"/>
      </w:pPr>
      <w:bookmarkStart w:name="9GIO-1637150200455" w:id="35"/>
      <w:bookmarkEnd w:id="35"/>
    </w:p>
    <w:p>
      <w:pPr/>
      <w:bookmarkStart w:name="j7Wj-1662854662129" w:id="36"/>
      <w:bookmarkEnd w:id="36"/>
      <w:r>
        <w:drawing>
          <wp:inline distT="0" distR="0" distB="0" distL="0">
            <wp:extent cx="5267325" cy="2710478"/>
            <wp:docPr id="0" name="Drawing 0" descr="截图.png"/>
            <a:graphic xmlns:a="http://schemas.openxmlformats.org/drawingml/2006/main">
              <a:graphicData uri="http://schemas.openxmlformats.org/drawingml/2006/picture">
                <pic:pic xmlns:pic="http://schemas.openxmlformats.org/drawingml/2006/picture">
                  <pic:nvPicPr>
                    <pic:cNvPr id="0" name="Picture 0" descr="截图.png"/>
                    <pic:cNvPicPr>
                      <a:picLocks noChangeAspect="true"/>
                    </pic:cNvPicPr>
                  </pic:nvPicPr>
                  <pic:blipFill>
                    <a:blip r:embed="rId11"/>
                    <a:stretch>
                      <a:fillRect/>
                    </a:stretch>
                  </pic:blipFill>
                  <pic:spPr>
                    <a:xfrm>
                      <a:off x="0" y="0"/>
                      <a:ext cx="5267325" cy="2710478"/>
                    </a:xfrm>
                    <a:prstGeom prst="rect">
                      <a:avLst/>
                    </a:prstGeom>
                  </pic:spPr>
                </pic:pic>
              </a:graphicData>
            </a:graphic>
          </wp:inline>
        </w:drawing>
      </w:r>
    </w:p>
    <w:p>
      <w:pPr>
        <w:spacing w:line="313" w:lineRule="auto"/>
        <w:jc w:val="both"/>
      </w:pPr>
      <w:bookmarkStart w:name="Egr9-1637150201566" w:id="37"/>
      <w:bookmarkEnd w:id="37"/>
    </w:p>
    <w:p>
      <w:pPr>
        <w:spacing w:line="322" w:lineRule="auto"/>
        <w:jc w:val="both"/>
      </w:pPr>
      <w:bookmarkStart w:name="n7hL-1662854778678" w:id="38"/>
      <w:bookmarkEnd w:id="38"/>
    </w:p>
    <w:p>
      <w:pPr>
        <w:pStyle w:val="1"/>
        <w:spacing w:line="320" w:lineRule="auto" w:before="0" w:after="0"/>
        <w:jc w:val="both"/>
      </w:pPr>
      <w:bookmarkStart w:name="xztP-1662854528850" w:id="39"/>
      <w:bookmarkEnd w:id="39"/>
    </w:p>
    <w:p>
      <w:pPr>
        <w:spacing w:line="320" w:lineRule="auto"/>
        <w:ind w:firstLine="0"/>
        <w:jc w:val="both"/>
      </w:pPr>
      <w:bookmarkStart w:name="9810-1613617174556" w:id="40"/>
      <w:bookmarkEnd w:id="40"/>
      <w:r>
        <w:rPr>
          <w:color w:val="333333"/>
          <w:sz w:val="24"/>
          <w:highlight w:val="white"/>
        </w:rPr>
        <w:t>原始债权人是指在与原始债权人签订的</w:t>
      </w:r>
      <w:hyperlink r:id="rId12">
        <w:r>
          <w:rPr>
            <w:color w:val="136ec2"/>
            <w:sz w:val="24"/>
            <w:highlight w:val="white"/>
          </w:rPr>
          <w:t>债权债务</w:t>
        </w:r>
      </w:hyperlink>
      <w:r>
        <w:rPr>
          <w:color w:val="333333"/>
          <w:sz w:val="24"/>
          <w:highlight w:val="white"/>
        </w:rPr>
        <w:t>合同中享有债权的一方，如</w:t>
      </w:r>
      <w:hyperlink r:id="rId13">
        <w:r>
          <w:rPr>
            <w:color w:val="136ec2"/>
            <w:sz w:val="24"/>
            <w:highlight w:val="white"/>
          </w:rPr>
          <w:t>抵押贷款</w:t>
        </w:r>
      </w:hyperlink>
      <w:r>
        <w:rPr>
          <w:color w:val="333333"/>
          <w:sz w:val="24"/>
          <w:highlight w:val="white"/>
        </w:rPr>
        <w:t>的发放银行。在资产证券化过程中，原始债权人是发起人。</w:t>
      </w:r>
    </w:p>
    <w:p>
      <w:pPr>
        <w:spacing w:line="320" w:lineRule="auto"/>
        <w:ind w:firstLine="0"/>
        <w:jc w:val="both"/>
      </w:pPr>
      <w:bookmarkStart w:name="6792-1584093358663" w:id="41"/>
      <w:bookmarkEnd w:id="41"/>
      <w:r>
        <w:rPr>
          <w:color w:val="333333"/>
          <w:sz w:val="24"/>
          <w:highlight w:val="white"/>
        </w:rPr>
        <w:t>在生活中有很多人都分不清楚</w:t>
      </w:r>
      <w:hyperlink r:id="rId14">
        <w:r>
          <w:rPr>
            <w:color w:val="333333"/>
            <w:sz w:val="24"/>
            <w:highlight w:val="white"/>
          </w:rPr>
          <w:t>债权人</w:t>
        </w:r>
      </w:hyperlink>
      <w:r>
        <w:rPr>
          <w:color w:val="333333"/>
          <w:sz w:val="24"/>
          <w:highlight w:val="white"/>
        </w:rPr>
        <w:t>和</w:t>
      </w:r>
      <w:hyperlink r:id="rId15">
        <w:r>
          <w:rPr>
            <w:color w:val="333333"/>
            <w:sz w:val="24"/>
            <w:highlight w:val="white"/>
          </w:rPr>
          <w:t>债务人</w:t>
        </w:r>
      </w:hyperlink>
      <w:r>
        <w:rPr>
          <w:color w:val="333333"/>
          <w:sz w:val="24"/>
          <w:highlight w:val="white"/>
        </w:rPr>
        <w:t>，那么什么叫债权人呢？债权本质上是对特定人的请求权，区别于本质上为对物的支配权的物权。拥有债权的"人"(这个人可以是个人,也可以是企业如:银行等)就是债权人. 假设你为了借款,将</w:t>
      </w:r>
      <w:hyperlink r:id="rId16">
        <w:r>
          <w:rPr>
            <w:color w:val="333333"/>
            <w:sz w:val="24"/>
            <w:highlight w:val="white"/>
          </w:rPr>
          <w:t>房屋抵押</w:t>
        </w:r>
      </w:hyperlink>
      <w:r>
        <w:rPr>
          <w:color w:val="333333"/>
          <w:sz w:val="24"/>
          <w:highlight w:val="white"/>
        </w:rPr>
        <w:t>给了他人(这个人就是债权人)作为担保物,如果你无法归还上述借款,债权人不能够直接拥有你的担保物,只能够通过司法程序对担保物进行拍卖,拍卖所得中也只能够拿走当初借款的金额(包括利息),多余部分要归还给借款人(即借债人)。</w:t>
      </w:r>
    </w:p>
    <w:p>
      <w:pPr>
        <w:spacing w:line="320" w:lineRule="auto"/>
        <w:ind w:firstLine="0"/>
        <w:jc w:val="both"/>
      </w:pPr>
      <w:bookmarkStart w:name="Qg09-1709364898540" w:id="42"/>
      <w:bookmarkEnd w:id="42"/>
    </w:p>
    <w:p>
      <w:pPr/>
      <w:bookmarkStart w:name="y2i0-1709364918307" w:id="43"/>
      <w:bookmarkEnd w:id="43"/>
    </w:p>
    <w:p>
      <w:pPr>
        <w:pStyle w:val="1"/>
        <w:spacing w:line="240" w:lineRule="auto" w:before="0" w:after="0"/>
      </w:pPr>
      <w:bookmarkStart w:name="gFZI-1709365404579" w:id="44"/>
      <w:bookmarkEnd w:id="44"/>
      <w:r>
        <w:rPr>
          <w:rFonts w:ascii="微软雅黑" w:hAnsi="微软雅黑" w:cs="微软雅黑" w:eastAsia="微软雅黑"/>
          <w:b w:val="true"/>
          <w:sz w:val="42"/>
        </w:rPr>
        <w:t>贷款计算</w:t>
      </w:r>
    </w:p>
    <w:p>
      <w:pPr>
        <w:pStyle w:val="2"/>
        <w:spacing w:line="240" w:lineRule="auto" w:before="0" w:after="0"/>
      </w:pPr>
      <w:bookmarkStart w:name="ibFB-1709364918772" w:id="45"/>
      <w:bookmarkEnd w:id="45"/>
      <w:r>
        <w:rPr>
          <w:rFonts w:ascii="微软雅黑" w:hAnsi="微软雅黑" w:cs="微软雅黑" w:eastAsia="微软雅黑"/>
          <w:b w:val="true"/>
          <w:sz w:val="30"/>
        </w:rPr>
        <w:t>等额本息</w:t>
      </w:r>
    </w:p>
    <w:p>
      <w:pPr>
        <w:spacing w:line="420" w:lineRule="auto"/>
      </w:pPr>
      <w:bookmarkStart w:name="pM3S-1606218158889" w:id="46"/>
      <w:bookmarkEnd w:id="46"/>
      <w:r>
        <w:rPr>
          <w:sz w:val="24"/>
        </w:rPr>
        <w:t>1、等额本息:本金➕利息，每月归还</w:t>
      </w:r>
    </w:p>
    <w:p>
      <w:pPr>
        <w:spacing w:line="420" w:lineRule="auto"/>
      </w:pPr>
      <w:bookmarkStart w:name="KOrc-1606218170520" w:id="47"/>
      <w:bookmarkEnd w:id="47"/>
      <w:r>
        <w:rPr>
          <w:sz w:val="24"/>
        </w:rPr>
        <w:t>算法:本金✖️利息➕本金➗月数=每月还款</w:t>
      </w:r>
    </w:p>
    <w:p>
      <w:pPr>
        <w:spacing w:line="420" w:lineRule="auto"/>
      </w:pPr>
      <w:bookmarkStart w:name="cRGH-1606218170520" w:id="48"/>
      <w:bookmarkEnd w:id="48"/>
      <w:r>
        <w:rPr>
          <w:sz w:val="24"/>
        </w:rPr>
        <w:t>比如你在银行贷了10万元，月息5厘，年限1年，那么你每月还款金额为:</w:t>
      </w:r>
    </w:p>
    <w:p>
      <w:pPr>
        <w:spacing w:line="420" w:lineRule="auto"/>
      </w:pPr>
      <w:bookmarkStart w:name="zkvh-1606218170520" w:id="49"/>
      <w:bookmarkEnd w:id="49"/>
      <w:r>
        <w:rPr>
          <w:sz w:val="24"/>
        </w:rPr>
        <w:t>100000✖️0.005➕100000➗12=8833.33元</w:t>
      </w:r>
    </w:p>
    <w:p>
      <w:pPr>
        <w:spacing w:line="420" w:lineRule="auto"/>
      </w:pPr>
      <w:bookmarkStart w:name="AhQG-1606218170520" w:id="50"/>
      <w:bookmarkEnd w:id="50"/>
    </w:p>
    <w:p>
      <w:pPr>
        <w:pStyle w:val="2"/>
        <w:spacing w:line="240" w:lineRule="auto" w:before="0" w:after="0"/>
      </w:pPr>
      <w:bookmarkStart w:name="vbwj-1709364918773" w:id="51"/>
      <w:bookmarkEnd w:id="51"/>
      <w:r>
        <w:rPr>
          <w:rFonts w:ascii="微软雅黑" w:hAnsi="微软雅黑" w:cs="微软雅黑" w:eastAsia="微软雅黑"/>
          <w:b w:val="true"/>
          <w:sz w:val="30"/>
        </w:rPr>
        <w:t>先息后本</w:t>
      </w:r>
    </w:p>
    <w:p>
      <w:pPr>
        <w:spacing w:line="420" w:lineRule="auto"/>
      </w:pPr>
      <w:bookmarkStart w:name="fsQt-1606218170520" w:id="52"/>
      <w:bookmarkEnd w:id="52"/>
      <w:r>
        <w:rPr>
          <w:sz w:val="24"/>
        </w:rPr>
        <w:t>2、先息后本:每月先还利息 到期归还本金</w:t>
      </w:r>
    </w:p>
    <w:p>
      <w:pPr>
        <w:spacing w:line="420" w:lineRule="auto"/>
      </w:pPr>
      <w:bookmarkStart w:name="BLDD-1606218170520" w:id="53"/>
      <w:bookmarkEnd w:id="53"/>
      <w:r>
        <w:rPr>
          <w:sz w:val="24"/>
        </w:rPr>
        <w:t>先息后本的算法很简单</w:t>
      </w:r>
    </w:p>
    <w:p>
      <w:pPr>
        <w:spacing w:line="420" w:lineRule="auto"/>
      </w:pPr>
      <w:bookmarkStart w:name="5QtW-1606218170520" w:id="54"/>
      <w:bookmarkEnd w:id="54"/>
      <w:r>
        <w:rPr>
          <w:sz w:val="24"/>
        </w:rPr>
        <w:t>比如你在银行贷款了10万，月息6厘，年限1年，那么你每月还款金额为:</w:t>
      </w:r>
    </w:p>
    <w:p>
      <w:pPr>
        <w:spacing w:line="420" w:lineRule="auto"/>
      </w:pPr>
      <w:bookmarkStart w:name="WY10-1606218170520" w:id="55"/>
      <w:bookmarkEnd w:id="55"/>
      <w:r>
        <w:rPr>
          <w:sz w:val="24"/>
        </w:rPr>
        <w:t xml:space="preserve">100000✖️0.006=600 </w:t>
      </w:r>
    </w:p>
    <w:p>
      <w:pPr>
        <w:spacing w:line="420" w:lineRule="auto"/>
      </w:pPr>
      <w:bookmarkStart w:name="vsep-1606218170520" w:id="56"/>
      <w:bookmarkEnd w:id="56"/>
      <w:r>
        <w:rPr>
          <w:sz w:val="24"/>
        </w:rPr>
        <w:t>每月还款600元利息 ，第12个月还款10万本金➕600元利息</w:t>
      </w:r>
    </w:p>
    <w:p>
      <w:pPr>
        <w:spacing w:line="420" w:lineRule="auto"/>
      </w:pPr>
      <w:bookmarkStart w:name="oO6x-1606218170520" w:id="57"/>
      <w:bookmarkEnd w:id="57"/>
    </w:p>
    <w:p>
      <w:pPr>
        <w:pStyle w:val="2"/>
        <w:spacing w:line="240" w:lineRule="auto" w:before="0" w:after="0"/>
      </w:pPr>
      <w:bookmarkStart w:name="mhHO-1709364918774" w:id="58"/>
      <w:bookmarkEnd w:id="58"/>
      <w:r>
        <w:rPr>
          <w:rFonts w:ascii="微软雅黑" w:hAnsi="微软雅黑" w:cs="微软雅黑" w:eastAsia="微软雅黑"/>
          <w:b w:val="true"/>
          <w:sz w:val="30"/>
        </w:rPr>
        <w:t>后息后本</w:t>
      </w:r>
    </w:p>
    <w:p>
      <w:pPr>
        <w:spacing w:line="420" w:lineRule="auto"/>
      </w:pPr>
      <w:bookmarkStart w:name="9LCx-1606218170520" w:id="59"/>
      <w:bookmarkEnd w:id="59"/>
      <w:r>
        <w:rPr>
          <w:sz w:val="24"/>
        </w:rPr>
        <w:t>3、后息后本:年限到期后归还利息➕本金</w:t>
      </w:r>
    </w:p>
    <w:p>
      <w:pPr>
        <w:spacing w:line="420" w:lineRule="auto"/>
      </w:pPr>
      <w:bookmarkStart w:name="QEOW-1606218170520" w:id="60"/>
      <w:bookmarkEnd w:id="60"/>
      <w:r>
        <w:rPr>
          <w:sz w:val="24"/>
        </w:rPr>
        <w:t>算法：本金✖️利息✖️月数➕本金＝到期应还</w:t>
      </w:r>
    </w:p>
    <w:p>
      <w:pPr>
        <w:spacing w:line="420" w:lineRule="auto"/>
      </w:pPr>
      <w:bookmarkStart w:name="lkFK-1606218170520" w:id="61"/>
      <w:bookmarkEnd w:id="61"/>
      <w:r>
        <w:rPr>
          <w:sz w:val="24"/>
        </w:rPr>
        <w:t>比如你在银行贷款了10万，月息7厘，年限1年，那么到期后应还金额为:</w:t>
      </w:r>
    </w:p>
    <w:p>
      <w:pPr>
        <w:spacing w:line="420" w:lineRule="auto"/>
      </w:pPr>
      <w:bookmarkStart w:name="RDmc-1606218170520" w:id="62"/>
      <w:bookmarkEnd w:id="62"/>
      <w:r>
        <w:rPr>
          <w:sz w:val="24"/>
        </w:rPr>
        <w:t>100000✖️0.007✖️12➕100000=108400元</w:t>
      </w:r>
    </w:p>
    <w:p>
      <w:pPr>
        <w:spacing w:line="420" w:lineRule="auto"/>
      </w:pPr>
      <w:bookmarkStart w:name="lNGD-1662854919187" w:id="63"/>
      <w:bookmarkEnd w:id="63"/>
    </w:p>
    <w:p>
      <w:pPr>
        <w:pStyle w:val="2"/>
        <w:spacing w:line="240" w:lineRule="auto" w:before="0" w:after="0"/>
      </w:pPr>
      <w:bookmarkStart w:name="rZnD-1709364918775" w:id="64"/>
      <w:bookmarkEnd w:id="64"/>
      <w:r>
        <w:rPr>
          <w:rFonts w:ascii="微软雅黑" w:hAnsi="微软雅黑" w:cs="微软雅黑" w:eastAsia="微软雅黑"/>
          <w:b w:val="true"/>
          <w:sz w:val="30"/>
        </w:rPr>
        <w:t>等额本息和等额本金的区别</w:t>
      </w:r>
    </w:p>
    <w:p>
      <w:pPr>
        <w:spacing w:line="320" w:lineRule="auto"/>
      </w:pPr>
      <w:bookmarkStart w:name="XPkA-1662854919499" w:id="65"/>
      <w:bookmarkEnd w:id="65"/>
      <w:r>
        <w:rPr>
          <w:sz w:val="24"/>
        </w:rPr>
        <w:t>等额本息：</w:t>
      </w:r>
      <w:r>
        <w:rPr>
          <w:color w:val="333333"/>
          <w:sz w:val="24"/>
          <w:highlight w:val="white"/>
        </w:rPr>
        <w:t>每月的还款额相同，从本质上来说是本金所占比例逐月递增，利息所占比例逐月递减</w:t>
      </w:r>
    </w:p>
    <w:p>
      <w:pPr/>
      <w:bookmarkStart w:name="haHJ-1709364918777" w:id="66"/>
      <w:bookmarkEnd w:id="66"/>
      <w:r>
        <w:drawing>
          <wp:inline distT="0" distR="0" distB="0" distL="0">
            <wp:extent cx="5267325" cy="3423761"/>
            <wp:docPr id="1" name="Drawing 1" descr="截图.png"/>
            <a:graphic xmlns:a="http://schemas.openxmlformats.org/drawingml/2006/main">
              <a:graphicData uri="http://schemas.openxmlformats.org/drawingml/2006/picture">
                <pic:pic xmlns:pic="http://schemas.openxmlformats.org/drawingml/2006/picture">
                  <pic:nvPicPr>
                    <pic:cNvPr id="0" name="Picture 1" descr="截图.png"/>
                    <pic:cNvPicPr>
                      <a:picLocks noChangeAspect="true"/>
                    </pic:cNvPicPr>
                  </pic:nvPicPr>
                  <pic:blipFill>
                    <a:blip r:embed="rId17"/>
                    <a:stretch>
                      <a:fillRect/>
                    </a:stretch>
                  </pic:blipFill>
                  <pic:spPr>
                    <a:xfrm>
                      <a:off x="0" y="0"/>
                      <a:ext cx="5267325" cy="3423761"/>
                    </a:xfrm>
                    <a:prstGeom prst="rect">
                      <a:avLst/>
                    </a:prstGeom>
                  </pic:spPr>
                </pic:pic>
              </a:graphicData>
            </a:graphic>
          </wp:inline>
        </w:drawing>
      </w:r>
    </w:p>
    <w:p>
      <w:pPr>
        <w:spacing w:line="320" w:lineRule="auto"/>
      </w:pPr>
      <w:bookmarkStart w:name="4088-1603850634564" w:id="67"/>
      <w:bookmarkEnd w:id="67"/>
    </w:p>
    <w:p>
      <w:pPr>
        <w:spacing w:line="320" w:lineRule="auto"/>
      </w:pPr>
      <w:bookmarkStart w:name="5134-1603850849336" w:id="68"/>
      <w:bookmarkEnd w:id="68"/>
      <w:r>
        <w:rPr>
          <w:sz w:val="24"/>
        </w:rPr>
        <w:t>等额本金：每月需还本金一样，利息逐渐递减</w:t>
      </w:r>
    </w:p>
    <w:p>
      <w:pPr/>
      <w:bookmarkStart w:name="b8xS-1709364918778" w:id="69"/>
      <w:bookmarkEnd w:id="69"/>
      <w:r>
        <w:drawing>
          <wp:inline distT="0" distR="0" distB="0" distL="0">
            <wp:extent cx="5267325" cy="3423761"/>
            <wp:docPr id="2" name="Drawing 2" descr="截图.png"/>
            <a:graphic xmlns:a="http://schemas.openxmlformats.org/drawingml/2006/main">
              <a:graphicData uri="http://schemas.openxmlformats.org/drawingml/2006/picture">
                <pic:pic xmlns:pic="http://schemas.openxmlformats.org/drawingml/2006/picture">
                  <pic:nvPicPr>
                    <pic:cNvPr id="0" name="Picture 2" descr="截图.png"/>
                    <pic:cNvPicPr>
                      <a:picLocks noChangeAspect="true"/>
                    </pic:cNvPicPr>
                  </pic:nvPicPr>
                  <pic:blipFill>
                    <a:blip r:embed="rId17"/>
                    <a:stretch>
                      <a:fillRect/>
                    </a:stretch>
                  </pic:blipFill>
                  <pic:spPr>
                    <a:xfrm>
                      <a:off x="0" y="0"/>
                      <a:ext cx="5267325" cy="3423761"/>
                    </a:xfrm>
                    <a:prstGeom prst="rect">
                      <a:avLst/>
                    </a:prstGeom>
                  </pic:spPr>
                </pic:pic>
              </a:graphicData>
            </a:graphic>
          </wp:inline>
        </w:drawing>
      </w:r>
    </w:p>
    <w:p>
      <w:pPr>
        <w:spacing w:line="320" w:lineRule="auto"/>
      </w:pPr>
      <w:bookmarkStart w:name="2728-1603850846658" w:id="70"/>
      <w:bookmarkEnd w:id="70"/>
    </w:p>
    <w:p>
      <w:pPr/>
      <w:bookmarkStart w:name="8qbP-1709364918779" w:id="71"/>
      <w:bookmarkEnd w:id="71"/>
      <w:r>
        <w:drawing>
          <wp:inline distT="0" distR="0" distB="0" distL="0">
            <wp:extent cx="4762500" cy="5238750"/>
            <wp:docPr id="3" name="Drawing 3" descr="截图.png"/>
            <a:graphic xmlns:a="http://schemas.openxmlformats.org/drawingml/2006/main">
              <a:graphicData uri="http://schemas.openxmlformats.org/drawingml/2006/picture">
                <pic:pic xmlns:pic="http://schemas.openxmlformats.org/drawingml/2006/picture">
                  <pic:nvPicPr>
                    <pic:cNvPr id="0" name="Picture 3" descr="截图.png"/>
                    <pic:cNvPicPr>
                      <a:picLocks noChangeAspect="true"/>
                    </pic:cNvPicPr>
                  </pic:nvPicPr>
                  <pic:blipFill>
                    <a:blip r:embed="rId18"/>
                    <a:stretch>
                      <a:fillRect/>
                    </a:stretch>
                  </pic:blipFill>
                  <pic:spPr>
                    <a:xfrm>
                      <a:off x="0" y="0"/>
                      <a:ext cx="4762500" cy="5238750"/>
                    </a:xfrm>
                    <a:prstGeom prst="rect">
                      <a:avLst/>
                    </a:prstGeom>
                  </pic:spPr>
                </pic:pic>
              </a:graphicData>
            </a:graphic>
          </wp:inline>
        </w:drawing>
      </w:r>
    </w:p>
    <w:p>
      <w:pPr>
        <w:spacing w:line="320" w:lineRule="auto"/>
      </w:pPr>
      <w:bookmarkStart w:name="2387-1603850926673" w:id="72"/>
      <w:bookmarkEnd w:id="72"/>
    </w:p>
    <w:p>
      <w:pPr/>
      <w:bookmarkStart w:name="BZ1O-1709364898701" w:id="73"/>
      <w:bookmarkEnd w:id="73"/>
    </w:p>
    <w:p>
      <w:pPr>
        <w:pStyle w:val="2"/>
        <w:spacing w:line="322" w:lineRule="auto" w:before="0" w:after="0"/>
        <w:ind w:firstLine="0"/>
      </w:pPr>
      <w:bookmarkStart w:name="jGKG-1709364899034" w:id="74"/>
      <w:bookmarkEnd w:id="74"/>
    </w:p>
    <w:p>
      <w:pPr>
        <w:spacing w:line="313" w:lineRule="auto"/>
        <w:jc w:val="both"/>
      </w:pPr>
      <w:bookmarkStart w:name="BdZu-1636250231876" w:id="75"/>
      <w:bookmarkEnd w:id="75"/>
    </w:p>
    <w:p>
      <w:pPr>
        <w:spacing w:line="313" w:lineRule="auto"/>
        <w:jc w:val="both"/>
      </w:pPr>
      <w:bookmarkStart w:name="gGDq-1662855859751" w:id="76"/>
      <w:bookmarkEnd w:id="76"/>
    </w:p>
    <w:p>
      <w:pPr>
        <w:pStyle w:val="2"/>
        <w:spacing w:line="313" w:lineRule="auto" w:before="0" w:after="0"/>
        <w:jc w:val="both"/>
      </w:pPr>
      <w:bookmarkStart w:name="yQvc-1709364899036" w:id="77"/>
      <w:bookmarkEnd w:id="77"/>
    </w:p>
    <w:p>
      <w:pPr>
        <w:pStyle w:val="1"/>
        <w:spacing w:line="320" w:lineRule="auto" w:before="0" w:after="0"/>
      </w:pPr>
      <w:bookmarkStart w:name="VgE1-1662855067104" w:id="78"/>
      <w:bookmarkEnd w:id="78"/>
      <w:r>
        <w:rPr>
          <w:rFonts w:ascii="微软雅黑" w:hAnsi="微软雅黑" w:cs="微软雅黑" w:eastAsia="微软雅黑"/>
          <w:b w:val="true"/>
          <w:sz w:val="42"/>
        </w:rPr>
        <w:t>法律相关</w:t>
      </w:r>
    </w:p>
    <w:p>
      <w:pPr>
        <w:pStyle w:val="2"/>
        <w:spacing w:line="320" w:lineRule="auto" w:before="0" w:after="0"/>
      </w:pPr>
      <w:bookmarkStart w:name="BRXH-1709364899037" w:id="79"/>
      <w:bookmarkEnd w:id="79"/>
      <w:r>
        <w:rPr>
          <w:rFonts w:ascii="微软雅黑" w:hAnsi="微软雅黑" w:cs="微软雅黑" w:eastAsia="微软雅黑"/>
          <w:b w:val="true"/>
          <w:sz w:val="30"/>
        </w:rPr>
        <w:t>判决书</w:t>
      </w:r>
    </w:p>
    <w:p>
      <w:pPr>
        <w:spacing w:line="320" w:lineRule="auto"/>
        <w:ind w:firstLine="0"/>
        <w:jc w:val="both"/>
      </w:pPr>
      <w:bookmarkStart w:name="qIsP-1662855053285" w:id="80"/>
      <w:bookmarkEnd w:id="80"/>
      <w:r>
        <w:rPr>
          <w:color w:val="333333"/>
          <w:sz w:val="24"/>
          <w:highlight w:val="white"/>
        </w:rPr>
        <w:t>判决书，法律术语，是指法院根据判决写成的</w:t>
      </w:r>
      <w:hyperlink r:id="rId19">
        <w:r>
          <w:rPr>
            <w:color w:val="136ec2"/>
            <w:sz w:val="24"/>
            <w:highlight w:val="white"/>
          </w:rPr>
          <w:t>文书</w:t>
        </w:r>
      </w:hyperlink>
      <w:r>
        <w:rPr>
          <w:color w:val="333333"/>
          <w:sz w:val="24"/>
          <w:highlight w:val="white"/>
        </w:rPr>
        <w:t>。是</w:t>
      </w:r>
      <w:hyperlink r:id="rId20">
        <w:r>
          <w:rPr>
            <w:color w:val="136ec2"/>
            <w:sz w:val="24"/>
            <w:highlight w:val="white"/>
          </w:rPr>
          <w:t>法律界</w:t>
        </w:r>
      </w:hyperlink>
      <w:r>
        <w:rPr>
          <w:color w:val="333333"/>
          <w:sz w:val="24"/>
          <w:highlight w:val="white"/>
        </w:rPr>
        <w:t>常用的一种应用写作文体，包括</w:t>
      </w:r>
      <w:hyperlink r:id="rId21">
        <w:r>
          <w:rPr>
            <w:color w:val="136ec2"/>
            <w:sz w:val="24"/>
            <w:highlight w:val="white"/>
          </w:rPr>
          <w:t>民事判决书</w:t>
        </w:r>
      </w:hyperlink>
      <w:r>
        <w:rPr>
          <w:color w:val="333333"/>
          <w:sz w:val="24"/>
          <w:highlight w:val="white"/>
        </w:rPr>
        <w:t>、</w:t>
      </w:r>
      <w:hyperlink r:id="rId22">
        <w:r>
          <w:rPr>
            <w:color w:val="136ec2"/>
            <w:sz w:val="24"/>
            <w:highlight w:val="white"/>
          </w:rPr>
          <w:t>刑事判决书</w:t>
        </w:r>
      </w:hyperlink>
      <w:r>
        <w:rPr>
          <w:color w:val="333333"/>
          <w:sz w:val="24"/>
          <w:highlight w:val="white"/>
        </w:rPr>
        <w:t>、</w:t>
      </w:r>
      <w:hyperlink r:id="rId23">
        <w:r>
          <w:rPr>
            <w:color w:val="136ec2"/>
            <w:sz w:val="24"/>
            <w:highlight w:val="white"/>
          </w:rPr>
          <w:t>行政判决书</w:t>
        </w:r>
      </w:hyperlink>
      <w:r>
        <w:rPr>
          <w:color w:val="333333"/>
          <w:sz w:val="24"/>
          <w:highlight w:val="white"/>
        </w:rPr>
        <w:t>和刑事附带民事判决书。</w:t>
      </w:r>
    </w:p>
    <w:p>
      <w:pPr>
        <w:spacing w:line="320" w:lineRule="auto"/>
        <w:ind w:firstLine="0"/>
        <w:jc w:val="both"/>
      </w:pPr>
      <w:bookmarkStart w:name="6364-1584780777083" w:id="81"/>
      <w:bookmarkEnd w:id="81"/>
      <w:r>
        <w:rPr>
          <w:color w:val="333333"/>
          <w:sz w:val="24"/>
          <w:highlight w:val="white"/>
        </w:rPr>
        <w:t>最高人民法院发布新规：法院生效的判决书从2014年1月1日起在互联网全面公布，除涉及国家机密、个人隐私、未成年犯罪以及不宜“晒”的4类判决书外，公众均可随时查阅。</w:t>
      </w:r>
    </w:p>
    <w:p>
      <w:pPr>
        <w:spacing w:line="320" w:lineRule="auto"/>
        <w:ind w:firstLine="0"/>
        <w:jc w:val="both"/>
      </w:pPr>
      <w:bookmarkStart w:name="5469-1584780670885" w:id="82"/>
      <w:bookmarkEnd w:id="82"/>
    </w:p>
    <w:p>
      <w:pPr>
        <w:pStyle w:val="2"/>
        <w:spacing w:line="320" w:lineRule="auto" w:before="0" w:after="0"/>
        <w:ind w:firstLine="0"/>
        <w:jc w:val="both"/>
      </w:pPr>
      <w:bookmarkStart w:name="L1Tk-1709364899038" w:id="83"/>
      <w:bookmarkEnd w:id="83"/>
      <w:r>
        <w:rPr>
          <w:rFonts w:ascii="微软雅黑" w:hAnsi="微软雅黑" w:cs="微软雅黑" w:eastAsia="微软雅黑"/>
          <w:b w:val="true"/>
          <w:color w:val="333333"/>
          <w:sz w:val="30"/>
          <w:highlight w:val="white"/>
        </w:rPr>
        <w:t>裁定书</w:t>
      </w:r>
    </w:p>
    <w:p>
      <w:pPr>
        <w:spacing w:line="320" w:lineRule="auto"/>
        <w:ind w:firstLine="0"/>
        <w:jc w:val="both"/>
      </w:pPr>
      <w:bookmarkStart w:name="XOkk-1662855065354" w:id="84"/>
      <w:bookmarkEnd w:id="84"/>
      <w:r>
        <w:rPr>
          <w:color w:val="333333"/>
          <w:sz w:val="24"/>
          <w:highlight w:val="white"/>
        </w:rPr>
        <w:t>裁定书是审判机关为处理诉讼程序问题或部分实体问题而依法制作的诉讼文书。在我国，依法准许上诉、抗诉的裁定，应当制作裁定书。二审的裁定一般也要制作裁定书。裁定书的主要内容包括：裁定的事项、理由及其他应予裁明的事宜。</w:t>
      </w:r>
    </w:p>
    <w:p>
      <w:pPr>
        <w:spacing w:line="320" w:lineRule="auto"/>
        <w:ind w:firstLine="0"/>
        <w:jc w:val="both"/>
      </w:pPr>
      <w:bookmarkStart w:name="4332-1584780671331" w:id="85"/>
      <w:bookmarkEnd w:id="85"/>
      <w:r>
        <w:rPr>
          <w:color w:val="333333"/>
          <w:sz w:val="24"/>
          <w:highlight w:val="white"/>
        </w:rPr>
        <w:t>裁定书的格式、写法、署名等与判决书基本相同。民事裁定书，即人民法院在审理民事案件和执行民事判决的过程中，为保障诉讼的顺利进行，就程序问题作出的书面处理决定，是应用写作中常见的一种文体。</w:t>
      </w:r>
    </w:p>
    <w:p>
      <w:pPr>
        <w:spacing w:line="320" w:lineRule="auto"/>
        <w:ind w:firstLine="0"/>
        <w:jc w:val="both"/>
      </w:pPr>
      <w:bookmarkStart w:name="GKvO-1662855101655" w:id="86"/>
      <w:bookmarkEnd w:id="86"/>
    </w:p>
    <w:p>
      <w:pPr>
        <w:spacing w:line="320" w:lineRule="auto"/>
        <w:ind w:firstLine="0"/>
        <w:jc w:val="both"/>
      </w:pPr>
      <w:bookmarkStart w:name="g7GX-1709365535358" w:id="87"/>
      <w:bookmarkEnd w:id="87"/>
    </w:p>
    <w:p>
      <w:pPr>
        <w:pStyle w:val="1"/>
        <w:spacing w:line="320" w:lineRule="auto" w:before="0" w:after="0"/>
        <w:ind w:firstLine="0"/>
        <w:jc w:val="both"/>
      </w:pPr>
      <w:bookmarkStart w:name="PFlF-1709365539255" w:id="88"/>
      <w:bookmarkEnd w:id="88"/>
      <w:r>
        <w:rPr>
          <w:rFonts w:ascii="微软雅黑" w:hAnsi="微软雅黑" w:cs="微软雅黑" w:eastAsia="微软雅黑"/>
          <w:b w:val="true"/>
          <w:color w:val="333333"/>
          <w:sz w:val="42"/>
          <w:highlight w:val="white"/>
        </w:rPr>
        <w:t>其它</w:t>
      </w:r>
    </w:p>
    <w:p>
      <w:pPr>
        <w:pStyle w:val="2"/>
        <w:spacing w:line="313" w:lineRule="auto" w:before="0" w:after="0"/>
        <w:jc w:val="both"/>
      </w:pPr>
      <w:bookmarkStart w:name="0R1E-1709365535553" w:id="89"/>
      <w:bookmarkEnd w:id="89"/>
      <w:r>
        <w:rPr>
          <w:rFonts w:ascii="微软雅黑" w:hAnsi="微软雅黑" w:cs="微软雅黑" w:eastAsia="微软雅黑"/>
          <w:b w:val="true"/>
          <w:color w:val="000000"/>
          <w:sz w:val="30"/>
        </w:rPr>
        <w:t>人行报告</w:t>
      </w:r>
    </w:p>
    <w:p>
      <w:pPr>
        <w:spacing w:line="320" w:lineRule="auto"/>
      </w:pPr>
      <w:bookmarkStart w:name="xIDS-1636250239696" w:id="90"/>
      <w:bookmarkEnd w:id="90"/>
      <w:r>
        <w:rPr>
          <w:sz w:val="24"/>
        </w:rPr>
        <w:t>人民银行征信报告</w:t>
      </w:r>
    </w:p>
    <w:p>
      <w:pPr>
        <w:spacing w:line="320" w:lineRule="auto"/>
      </w:pPr>
      <w:bookmarkStart w:name="eVgD-1662855053046" w:id="91"/>
      <w:bookmarkEnd w:id="91"/>
    </w:p>
    <w:p>
      <w:pPr>
        <w:pStyle w:val="2"/>
        <w:spacing w:line="320" w:lineRule="auto" w:before="0" w:after="0"/>
        <w:ind w:firstLine="0"/>
        <w:jc w:val="both"/>
      </w:pPr>
      <w:bookmarkStart w:name="Dxu6-1709364899039" w:id="92"/>
      <w:bookmarkEnd w:id="92"/>
      <w:r>
        <w:rPr>
          <w:rFonts w:ascii="微软雅黑" w:hAnsi="微软雅黑" w:cs="微软雅黑" w:eastAsia="微软雅黑"/>
          <w:b w:val="true"/>
          <w:color w:val="333333"/>
          <w:sz w:val="30"/>
          <w:highlight w:val="white"/>
        </w:rPr>
        <w:t>反担保</w:t>
      </w:r>
    </w:p>
    <w:p>
      <w:pPr>
        <w:spacing w:line="320" w:lineRule="auto"/>
        <w:ind w:firstLine="0"/>
        <w:jc w:val="both"/>
      </w:pPr>
      <w:bookmarkStart w:name="Z4hz-1662855101997" w:id="93"/>
      <w:bookmarkEnd w:id="93"/>
      <w:r>
        <w:rPr>
          <w:color w:val="333333"/>
          <w:sz w:val="24"/>
          <w:highlight w:val="white"/>
        </w:rPr>
        <w:t>反担保（fǎn dān bǎo）又可称为求偿担保、偿还约定书或反保证书，是指为保障债务人之外的</w:t>
      </w:r>
      <w:hyperlink r:id="rId24">
        <w:r>
          <w:rPr>
            <w:color w:val="136ec2"/>
            <w:sz w:val="24"/>
            <w:highlight w:val="white"/>
          </w:rPr>
          <w:t>担保人</w:t>
        </w:r>
      </w:hyperlink>
      <w:r>
        <w:rPr>
          <w:color w:val="333333"/>
          <w:sz w:val="24"/>
          <w:highlight w:val="white"/>
        </w:rPr>
        <w:t>将来承担担保责任后对债务人的追偿权的实现而设定的担保。</w:t>
      </w:r>
    </w:p>
    <w:p>
      <w:pPr>
        <w:spacing w:line="320" w:lineRule="auto"/>
        <w:ind w:firstLine="0"/>
        <w:jc w:val="both"/>
      </w:pPr>
      <w:bookmarkStart w:name="6413-1614484255743" w:id="94"/>
      <w:bookmarkEnd w:id="94"/>
      <w:r>
        <w:rPr>
          <w:color w:val="333333"/>
          <w:sz w:val="24"/>
          <w:highlight w:val="white"/>
        </w:rPr>
        <w:t>反担保目的是确保第三人追偿权的实现。我国《</w:t>
      </w:r>
      <w:hyperlink r:id="rId25">
        <w:r>
          <w:rPr>
            <w:color w:val="136ec2"/>
            <w:sz w:val="24"/>
            <w:highlight w:val="white"/>
          </w:rPr>
          <w:t>担保法</w:t>
        </w:r>
      </w:hyperlink>
      <w:r>
        <w:rPr>
          <w:color w:val="333333"/>
          <w:sz w:val="24"/>
          <w:highlight w:val="white"/>
        </w:rPr>
        <w:t>》第4条规定：“第三人为债务人向债权人提供担保时，可以要求债务人提供反担保。反担保适用本法担保的规定。”</w:t>
      </w:r>
    </w:p>
    <w:p>
      <w:pPr>
        <w:spacing w:line="320" w:lineRule="auto"/>
        <w:ind w:firstLine="0"/>
        <w:jc w:val="both"/>
      </w:pPr>
      <w:bookmarkStart w:name="1227-1614484569499" w:id="95"/>
      <w:bookmarkEnd w:id="95"/>
      <w:r>
        <w:rPr>
          <w:color w:val="333333"/>
          <w:sz w:val="24"/>
          <w:highlight w:val="white"/>
        </w:rPr>
        <w:t>举例子：A向C借钱，B为A做担保，B可以要求A提供反担保。</w:t>
      </w:r>
    </w:p>
    <w:p>
      <w:pPr/>
      <w:bookmarkStart w:name="oV2f-1641008929364" w:id="96"/>
      <w:bookmarkEnd w:id="96"/>
      <w:r>
        <w:rPr>
          <w:color w:val="000000"/>
          <w:sz w:val="24"/>
        </w:rPr>
        <w:t>背书=做担保。</w:t>
      </w:r>
    </w:p>
    <w:p>
      <w:pPr/>
      <w:bookmarkStart w:name="Lp1Z-1709365440661" w:id="97"/>
      <w:bookmarkEnd w:id="97"/>
    </w:p>
    <w:p>
      <w:pPr>
        <w:pStyle w:val="2"/>
        <w:spacing w:line="320" w:lineRule="auto" w:before="0" w:after="0"/>
        <w:jc w:val="both"/>
      </w:pPr>
      <w:bookmarkStart w:name="tYeT-1709365440796" w:id="98"/>
      <w:bookmarkEnd w:id="98"/>
      <w:r>
        <w:rPr>
          <w:rFonts w:ascii="微软雅黑" w:hAnsi="微软雅黑" w:cs="微软雅黑" w:eastAsia="微软雅黑"/>
          <w:b w:val="true"/>
          <w:color w:val="000000"/>
          <w:sz w:val="30"/>
          <w:highlight w:val="white"/>
        </w:rPr>
        <w:t>代位求偿</w:t>
      </w:r>
    </w:p>
    <w:p>
      <w:pPr>
        <w:spacing w:line="320" w:lineRule="auto"/>
        <w:ind w:firstLine="0"/>
        <w:jc w:val="both"/>
      </w:pPr>
      <w:bookmarkStart w:name="4112-1613617168284" w:id="99"/>
      <w:bookmarkEnd w:id="99"/>
      <w:r>
        <w:rPr>
          <w:color w:val="333333"/>
          <w:sz w:val="24"/>
          <w:highlight w:val="white"/>
        </w:rPr>
        <w:t>指的是指保险人代替被保险人遭遇的损失而行使赔偿权力向责任赔偿方要求索赔。代位求偿的根本是债主体的更替。</w:t>
      </w:r>
    </w:p>
    <w:p>
      <w:pPr>
        <w:spacing w:line="320" w:lineRule="auto"/>
        <w:jc w:val="both"/>
      </w:pPr>
      <w:bookmarkStart w:name="7754-1584091574246" w:id="100"/>
      <w:bookmarkEnd w:id="100"/>
    </w:p>
    <w:p>
      <w:pPr>
        <w:spacing w:line="320" w:lineRule="auto"/>
        <w:jc w:val="both"/>
      </w:pPr>
      <w:bookmarkStart w:name="ihUu-1662855008804" w:id="101"/>
      <w:bookmarkEnd w:id="101"/>
    </w:p>
    <w:p>
      <w:pPr>
        <w:pStyle w:val="2"/>
        <w:spacing w:line="320" w:lineRule="auto" w:before="0" w:after="0"/>
        <w:ind w:firstLine="0"/>
        <w:jc w:val="both"/>
      </w:pPr>
      <w:bookmarkStart w:name="wcbC-1709365441200" w:id="102"/>
      <w:bookmarkEnd w:id="102"/>
      <w:r>
        <w:rPr>
          <w:rFonts w:ascii="微软雅黑" w:hAnsi="微软雅黑" w:cs="微软雅黑" w:eastAsia="微软雅黑"/>
          <w:b w:val="true"/>
          <w:color w:val="333333"/>
          <w:sz w:val="30"/>
          <w:highlight w:val="white"/>
        </w:rPr>
        <w:t>对公贷款</w:t>
      </w:r>
    </w:p>
    <w:p>
      <w:pPr>
        <w:spacing w:line="320" w:lineRule="auto"/>
        <w:ind w:firstLine="0"/>
        <w:jc w:val="both"/>
      </w:pPr>
      <w:bookmarkStart w:name="1273-1628772774497" w:id="103"/>
      <w:bookmarkEnd w:id="103"/>
      <w:r>
        <w:rPr>
          <w:color w:val="333333"/>
          <w:sz w:val="24"/>
          <w:highlight w:val="white"/>
        </w:rPr>
        <w:t>对公贷款又称银行对公业务。</w:t>
      </w:r>
    </w:p>
    <w:p>
      <w:pPr>
        <w:spacing w:line="320" w:lineRule="auto"/>
        <w:ind w:firstLine="0"/>
        <w:jc w:val="both"/>
      </w:pPr>
      <w:bookmarkStart w:name="6421-1628772775077" w:id="104"/>
      <w:bookmarkEnd w:id="104"/>
      <w:r>
        <w:rPr>
          <w:color w:val="333333"/>
          <w:sz w:val="24"/>
          <w:highlight w:val="white"/>
        </w:rPr>
        <w:t>银行对公业务包括企业电子银行、单位存款业务、信贷业务、机构业务、国际业务、委托性住房金融、资金清算、中间业务、资产推介、基金托管等等，通俗点说就是“对单位的业务”。</w:t>
      </w:r>
    </w:p>
    <w:p>
      <w:pPr>
        <w:spacing w:line="320" w:lineRule="auto"/>
        <w:ind w:firstLine="0"/>
        <w:jc w:val="both"/>
      </w:pPr>
      <w:bookmarkStart w:name="8040-1628772775077" w:id="105"/>
      <w:bookmarkEnd w:id="105"/>
      <w:r>
        <w:rPr>
          <w:color w:val="333333"/>
          <w:sz w:val="24"/>
          <w:highlight w:val="white"/>
        </w:rPr>
        <w:t>银行内部最基本的部门就是储蓄、会计和信贷。会计可以说是信贷的后台和服务部门，信贷是单位的存款和贷款业务，有点像一般公司的销售部门，而这些单位与银行发生的所有业务往来则都是通过会计部门实现的。 具体来说，对公业务是以企业法人、单位等客户为主体，围绕公存账户开展各类支票、汇兑、贷款等业务。</w:t>
      </w:r>
    </w:p>
    <w:p>
      <w:pPr>
        <w:spacing w:line="320" w:lineRule="auto"/>
        <w:ind w:firstLine="0"/>
        <w:jc w:val="both"/>
      </w:pPr>
      <w:bookmarkStart w:name="tB0Q-1662855017332" w:id="106"/>
      <w:bookmarkEnd w:id="106"/>
    </w:p>
    <w:p>
      <w:pPr>
        <w:pStyle w:val="2"/>
        <w:spacing w:line="320" w:lineRule="auto" w:before="0" w:after="0"/>
        <w:jc w:val="both"/>
      </w:pPr>
      <w:bookmarkStart w:name="PVZ3-1709365441201" w:id="107"/>
      <w:bookmarkEnd w:id="107"/>
      <w:r>
        <w:rPr>
          <w:rFonts w:ascii="微软雅黑" w:hAnsi="微软雅黑" w:cs="微软雅黑" w:eastAsia="微软雅黑"/>
          <w:b w:val="true"/>
          <w:color w:val="000000"/>
          <w:sz w:val="30"/>
          <w:highlight w:val="white"/>
        </w:rPr>
        <w:t>债权转让</w:t>
      </w:r>
    </w:p>
    <w:p>
      <w:pPr>
        <w:spacing w:line="320" w:lineRule="auto"/>
        <w:ind w:firstLine="0"/>
        <w:jc w:val="both"/>
      </w:pPr>
      <w:bookmarkStart w:name="4417-1613617169745" w:id="108"/>
      <w:bookmarkEnd w:id="108"/>
      <w:r>
        <w:rPr>
          <w:color w:val="333333"/>
          <w:sz w:val="24"/>
          <w:highlight w:val="white"/>
        </w:rPr>
        <w:t>债权让与别名又称债权转让，是指债的关系不失其统一性，债权人通过让与合同将其债权转移于第三人享有的现象。债权让与，是指不改变债权关系的内容，债权人通过协议而将其债权全部或部分转移于第三人的行为。其中，馈权人称为让与人，第三人称为受让人。</w:t>
      </w:r>
    </w:p>
    <w:p>
      <w:pPr/>
      <w:bookmarkStart w:name="bG3k-1709365505939" w:id="109"/>
      <w:bookmarkEnd w:id="109"/>
    </w:p>
    <w:p>
      <w:pPr>
        <w:pStyle w:val="2"/>
        <w:spacing w:line="322" w:lineRule="auto" w:before="0" w:after="0"/>
        <w:ind w:firstLine="0"/>
      </w:pPr>
      <w:bookmarkStart w:name="y6pi-1709365506335" w:id="110"/>
      <w:bookmarkEnd w:id="110"/>
      <w:r>
        <w:rPr>
          <w:rFonts w:ascii="微软雅黑" w:hAnsi="微软雅黑" w:cs="微软雅黑" w:eastAsia="微软雅黑"/>
          <w:b w:val="true"/>
          <w:color w:val="000000"/>
          <w:sz w:val="30"/>
        </w:rPr>
        <w:t>呆账</w:t>
      </w:r>
    </w:p>
    <w:p>
      <w:pPr>
        <w:spacing w:line="322" w:lineRule="auto"/>
        <w:ind w:firstLine="0"/>
      </w:pPr>
      <w:bookmarkStart w:name="ERPt-1636250179987" w:id="111"/>
      <w:bookmarkEnd w:id="111"/>
      <w:r>
        <w:rPr>
          <w:sz w:val="24"/>
        </w:rPr>
        <w:t xml:space="preserve">呆账是一个经济领域术语，是指已过偿付期限，经催讨尚不能收回，长期处于呆滞状态，有可能成为坏账的应收款项。呆账是未能及时进行清账的结果，又指因对方不还而收不回来的财物。 </w:t>
      </w:r>
    </w:p>
    <w:p>
      <w:pPr>
        <w:spacing w:line="322" w:lineRule="auto"/>
        <w:ind w:firstLine="0"/>
      </w:pPr>
      <w:bookmarkStart w:name="Yob7-1636250179056" w:id="112"/>
      <w:bookmarkEnd w:id="112"/>
    </w:p>
    <w:p>
      <w:pPr>
        <w:pStyle w:val="2"/>
        <w:spacing w:line="322" w:lineRule="auto" w:before="0" w:after="0"/>
        <w:ind w:firstLine="0"/>
      </w:pPr>
      <w:bookmarkStart w:name="U4ay-1709365506740" w:id="113"/>
      <w:bookmarkEnd w:id="113"/>
      <w:r>
        <w:rPr>
          <w:rFonts w:ascii="微软雅黑" w:hAnsi="微软雅黑" w:cs="微软雅黑" w:eastAsia="微软雅黑"/>
          <w:b w:val="true"/>
          <w:color w:val="000000"/>
          <w:sz w:val="30"/>
        </w:rPr>
        <w:t>卡BIN</w:t>
      </w:r>
    </w:p>
    <w:p>
      <w:pPr>
        <w:spacing w:line="313" w:lineRule="auto"/>
        <w:jc w:val="both"/>
      </w:pPr>
      <w:bookmarkStart w:name="vkW6-1636250174241" w:id="114"/>
      <w:bookmarkEnd w:id="114"/>
      <w:r>
        <w:rPr/>
        <w:t>卡BIN是指银行卡的BIN号即银行标识代码。</w:t>
      </w:r>
    </w:p>
    <w:p>
      <w:pPr>
        <w:spacing w:line="313" w:lineRule="auto"/>
        <w:jc w:val="both"/>
      </w:pPr>
      <w:bookmarkStart w:name="pOZQ-1633761526885" w:id="115"/>
      <w:bookmarkEnd w:id="115"/>
      <w:r>
        <w:rPr/>
        <w:t>BIN英文全称是 Bank Identification Number。BIN由6位数字表示，出现在卡号的前6位，由国际标准化组织(ISO)分配给各从事跨行转接交换的银行卡组织。</w:t>
      </w:r>
    </w:p>
    <w:p>
      <w:pPr>
        <w:spacing w:line="313" w:lineRule="auto"/>
        <w:jc w:val="both"/>
      </w:pPr>
      <w:bookmarkStart w:name="RZyW-1633761520445" w:id="116"/>
      <w:bookmarkEnd w:id="116"/>
      <w:r>
        <w:rPr/>
        <w:t>银行卡的卡号是标识发卡机构和持卡人信息的号码，由以下三部分组成：发卡行标识代码(BIN号)、发卡行自定义位、校验码。</w:t>
      </w:r>
    </w:p>
    <w:p>
      <w:pPr>
        <w:spacing w:line="313" w:lineRule="auto"/>
        <w:jc w:val="both"/>
      </w:pPr>
      <w:bookmarkStart w:name="LBhH-1633761521580" w:id="117"/>
      <w:bookmarkEnd w:id="117"/>
      <w:r>
        <w:rPr/>
        <w:t>目前，国内银行卡按照数字开头的不同，分为不同的银行卡组织归属，其中以BIN号“4”字打头的银行卡属于VISA卡组织，以“5”字打头的属于MasterCard 卡组织；以“9”字和“62”、“60”打头的属于中国银联，而“62”、“60”打头的银联卡是符合国际标准的银联标准卡，可以在国外使用，这也是中国银联近几年来主要发行的银行卡片。</w:t>
      </w:r>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ttps://baike.baidu.com/item/%E7%9F%AD%E6%9C%9F%E6%B5%81%E5%8A%A8%E8%B5%84%E9%87%91%E8%B4%B7%E6%AC%BE/4608371" TargetMode="External" Type="http://schemas.openxmlformats.org/officeDocument/2006/relationships/hyperlink"/><Relationship Id="rId11" Target="media/image1.png" Type="http://schemas.openxmlformats.org/officeDocument/2006/relationships/image"/><Relationship Id="rId12" Target="https://baike.baidu.com/item/%E5%80%BA%E6%9D%83%E5%80%BA%E5%8A%A1/8465919" TargetMode="External" Type="http://schemas.openxmlformats.org/officeDocument/2006/relationships/hyperlink"/><Relationship Id="rId13" Target="https://baike.baidu.com/item/%E6%8A%B5%E6%8A%BC%E8%B4%B7%E6%AC%BE/3340207" TargetMode="External" Type="http://schemas.openxmlformats.org/officeDocument/2006/relationships/hyperlink"/><Relationship Id="rId14" Target="http://www.64365.com/baike/zqr/" TargetMode="External" Type="http://schemas.openxmlformats.org/officeDocument/2006/relationships/hyperlink"/><Relationship Id="rId15" Target="http://www.64365.com/baike/zwr/" TargetMode="External" Type="http://schemas.openxmlformats.org/officeDocument/2006/relationships/hyperlink"/><Relationship Id="rId16" Target="http://www.64365.com/baike/fwdy/" TargetMode="External" Type="http://schemas.openxmlformats.org/officeDocument/2006/relationships/hyperlink"/><Relationship Id="rId17" Target="media/image2.png" Type="http://schemas.openxmlformats.org/officeDocument/2006/relationships/image"/><Relationship Id="rId18" Target="media/image3.png" Type="http://schemas.openxmlformats.org/officeDocument/2006/relationships/image"/><Relationship Id="rId19" Target="https://baike.baidu.com/item/%E6%96%87%E4%B9%A6/2267353" TargetMode="External" Type="http://schemas.openxmlformats.org/officeDocument/2006/relationships/hyperlink"/><Relationship Id="rId2" Target="styles.xml" Type="http://schemas.openxmlformats.org/officeDocument/2006/relationships/styles"/><Relationship Id="rId20" Target="https://baike.baidu.com/item/%E6%B3%95%E5%BE%8B%E7%95%8C/8011664" TargetMode="External" Type="http://schemas.openxmlformats.org/officeDocument/2006/relationships/hyperlink"/><Relationship Id="rId21" Target="https://baike.baidu.com/item/%E6%B0%91%E4%BA%8B%E5%88%A4%E5%86%B3%E4%B9%A6/6700680" TargetMode="External" Type="http://schemas.openxmlformats.org/officeDocument/2006/relationships/hyperlink"/><Relationship Id="rId22" Target="https://baike.baidu.com/item/%E5%88%91%E4%BA%8B%E5%88%A4%E5%86%B3%E4%B9%A6/6762950" TargetMode="External" Type="http://schemas.openxmlformats.org/officeDocument/2006/relationships/hyperlink"/><Relationship Id="rId23" Target="https://baike.baidu.com/item/%E8%A1%8C%E6%94%BF%E5%88%A4%E5%86%B3%E4%B9%A6/6700925" TargetMode="External" Type="http://schemas.openxmlformats.org/officeDocument/2006/relationships/hyperlink"/><Relationship Id="rId24" Target="https://baike.baidu.com/item/%E6%8B%85%E4%BF%9D%E4%BA%BA/5855385" TargetMode="External" Type="http://schemas.openxmlformats.org/officeDocument/2006/relationships/hyperlink"/><Relationship Id="rId25" Target="https://baike.baidu.com/item/%E6%8B%85%E4%BF%9D%E6%B3%95/9268941" TargetMode="External" Type="http://schemas.openxmlformats.org/officeDocument/2006/relationships/hyperlink"/><Relationship Id="rId3" Target="https://baike.baidu.com/item/%E6%8C%81%E5%8D%A1%E4%BA%BA/10896183" TargetMode="External" Type="http://schemas.openxmlformats.org/officeDocument/2006/relationships/hyperlink"/><Relationship Id="rId4" Target="https://baike.baidu.com/item/%E5%8F%91%E5%8D%A1%E9%93%B6%E8%A1%8C/6835090" TargetMode="External" Type="http://schemas.openxmlformats.org/officeDocument/2006/relationships/hyperlink"/><Relationship Id="rId5" Target="https://baike.baidu.com/item/%E5%A4%87%E7%94%A8%E9%87%91/9660699" TargetMode="External" Type="http://schemas.openxmlformats.org/officeDocument/2006/relationships/hyperlink"/><Relationship Id="rId6" Target="https://baike.baidu.com/item/%E4%BF%A1%E7%94%A8%E9%A2%9D%E5%BA%A6/444384" TargetMode="External" Type="http://schemas.openxmlformats.org/officeDocument/2006/relationships/hyperlink"/><Relationship Id="rId7" Target="https://baike.baidu.com/item/%E6%B5%81%E5%8A%A8%E8%B5%84%E9%87%91%E8%B4%B7%E6%AC%BE/8641179" TargetMode="External" Type="http://schemas.openxmlformats.org/officeDocument/2006/relationships/hyperlink"/><Relationship Id="rId8" Target="https://baike.baidu.com/item/%E4%B8%AD%E5%B0%8F%E4%BC%81%E4%B8%9A%E8%B4%B7%E6%AC%BE/6307842" TargetMode="External" Type="http://schemas.openxmlformats.org/officeDocument/2006/relationships/hyperlink"/><Relationship Id="rId9" Target="https://baike.baidu.com/item/%E6%B5%81%E5%8A%A8%E8%B5%84%E9%87%91%E8%B4%B7%E6%AC%BE/8641179"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2024-03-02T07:51:56Z</dcterms:created>
  <dc:creator>Apache POI</dc:creator>
</cp:coreProperties>
</file>