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pStyle w:val="1"/>
        <w:spacing w:line="240" w:lineRule="auto" w:before="0" w:after="0"/>
      </w:pPr>
      <w:bookmarkStart w:name="3060-1621846615933" w:id="1"/>
      <w:bookmarkEnd w:id="1"/>
      <w:r>
        <w:rPr>
          <w:rFonts w:ascii="微软雅黑" w:hAnsi="微软雅黑" w:cs="微软雅黑" w:eastAsia="微软雅黑"/>
          <w:b w:val="true"/>
          <w:color w:val="000000"/>
          <w:sz w:val="30"/>
          <w:highlight w:val="white"/>
        </w:rPr>
        <w:t>征信</w:t>
      </w:r>
    </w:p>
    <w:p>
      <w:pPr>
        <w:spacing w:line="313" w:lineRule="auto"/>
      </w:pPr>
      <w:bookmarkStart w:name="Be0H-1636023510315" w:id="2"/>
      <w:bookmarkEnd w:id="2"/>
      <w:r>
        <w:rPr>
          <w:color w:val="000000"/>
          <w:sz w:val="24"/>
          <w:highlight w:val="white"/>
        </w:rPr>
        <w:t>征信就是通过采集、整理并保存的个人信用信息记录。</w:t>
      </w:r>
    </w:p>
    <w:p>
      <w:pPr>
        <w:spacing w:line="313" w:lineRule="auto"/>
      </w:pPr>
      <w:bookmarkStart w:name="Pi3k-1632361345583" w:id="3"/>
      <w:bookmarkEnd w:id="3"/>
    </w:p>
    <w:p>
      <w:pPr>
        <w:pStyle w:val="1"/>
        <w:spacing w:line="313" w:lineRule="auto" w:before="0" w:after="0"/>
      </w:pPr>
      <w:bookmarkStart w:name="nbHL-1662278185825" w:id="4"/>
      <w:bookmarkEnd w:id="4"/>
      <w:r>
        <w:rPr>
          <w:rFonts w:ascii="微软雅黑" w:hAnsi="微软雅黑" w:cs="微软雅黑" w:eastAsia="微软雅黑"/>
          <w:b w:val="true"/>
          <w:color w:val="000000"/>
          <w:sz w:val="30"/>
          <w:highlight w:val="white"/>
        </w:rPr>
        <w:t>授信</w:t>
      </w:r>
    </w:p>
    <w:p>
      <w:pPr>
        <w:spacing w:line="313" w:lineRule="auto"/>
      </w:pPr>
      <w:bookmarkStart w:name="xrfT-1636023488684" w:id="5"/>
      <w:bookmarkEnd w:id="5"/>
      <w:r>
        <w:rPr>
          <w:color w:val="000000"/>
          <w:sz w:val="24"/>
          <w:highlight w:val="white"/>
        </w:rPr>
        <w:t>授信是银行或者小贷企业为了向客户提供资金支持，对其进行风险评估及风险管控的过程。</w:t>
      </w:r>
    </w:p>
    <w:p>
      <w:pPr>
        <w:spacing w:line="313" w:lineRule="auto"/>
      </w:pPr>
      <w:bookmarkStart w:name="iqq3-1636023493049" w:id="6"/>
      <w:bookmarkEnd w:id="6"/>
      <w:r>
        <w:rPr>
          <w:color w:val="000000"/>
          <w:sz w:val="24"/>
          <w:highlight w:val="white"/>
        </w:rPr>
        <w:t>贷前授信是查用户各种资信信息，综合判断用户的信用、偿还能力等，输出最终的风险等级、产品类型、风险额度、固定额度、现金、BT可借比例等。</w:t>
      </w:r>
    </w:p>
    <w:p>
      <w:pPr/>
      <w:bookmarkStart w:name="L7KZ-1636023520106" w:id="7"/>
      <w:bookmarkEnd w:id="7"/>
      <w:r>
        <w:rPr>
          <w:color w:val="000000"/>
          <w:sz w:val="24"/>
        </w:rPr>
        <w:t>企业或个人向银行申请贷款时，银行根据其财务信用状况及周转需要，按规定的数额准许贷款叫授信。</w:t>
      </w:r>
    </w:p>
    <w:p>
      <w:pPr/>
      <w:bookmarkStart w:name="5R8X-1616643517040" w:id="8"/>
      <w:bookmarkEnd w:id="8"/>
      <w:r>
        <w:rPr>
          <w:color w:val="000000"/>
          <w:sz w:val="24"/>
        </w:rPr>
        <w:t>银行授信的意思就是指商业银行向个人客户提供的资金，或者向客户保证在客户进行相关经济活动中可能产生的赔偿、支付责任中提供资金。</w:t>
      </w:r>
    </w:p>
    <w:p>
      <w:pPr/>
      <w:bookmarkStart w:name="TA2C-1636157193077" w:id="9"/>
      <w:bookmarkEnd w:id="9"/>
    </w:p>
    <w:p>
      <w:pPr>
        <w:pStyle w:val="1"/>
        <w:spacing w:line="313" w:lineRule="auto" w:before="0" w:after="0"/>
      </w:pPr>
      <w:bookmarkStart w:name="dr0H-1662278185826" w:id="10"/>
      <w:bookmarkEnd w:id="10"/>
      <w:r>
        <w:rPr>
          <w:rFonts w:ascii="微软雅黑" w:hAnsi="微软雅黑" w:cs="微软雅黑" w:eastAsia="微软雅黑"/>
          <w:b w:val="true"/>
          <w:color w:val="000000"/>
          <w:sz w:val="30"/>
          <w:highlight w:val="white"/>
        </w:rPr>
        <w:t>资信</w:t>
      </w:r>
    </w:p>
    <w:p>
      <w:pPr>
        <w:spacing w:line="313" w:lineRule="auto"/>
      </w:pPr>
      <w:bookmarkStart w:name="0b5j-1632361376933" w:id="11"/>
      <w:bookmarkEnd w:id="11"/>
      <w:r>
        <w:rPr>
          <w:color w:val="000000"/>
          <w:sz w:val="24"/>
          <w:highlight w:val="white"/>
        </w:rPr>
        <w:t>资信是个体在社会活动中的信用记录，它全面、客观记录用户信用情况，是对其信用风险的综合评价。</w:t>
      </w:r>
    </w:p>
    <w:p>
      <w:pPr>
        <w:spacing w:line="322" w:lineRule="auto"/>
        <w:ind w:firstLine="0"/>
        <w:jc w:val="both"/>
      </w:pPr>
      <w:bookmarkStart w:name="SdHf-1636023978797" w:id="12"/>
      <w:bookmarkEnd w:id="12"/>
      <w:r>
        <w:rPr>
          <w:color w:val="000000"/>
          <w:sz w:val="24"/>
          <w:highlight w:val="white"/>
        </w:rPr>
        <w:t>资产和信誉。资金充足且诚实守信，就是</w:t>
      </w:r>
      <w:r>
        <w:rPr>
          <w:b w:val="true"/>
          <w:color w:val="000000"/>
          <w:sz w:val="24"/>
          <w:highlight w:val="white"/>
        </w:rPr>
        <w:t>资信</w:t>
      </w:r>
      <w:r>
        <w:rPr>
          <w:color w:val="000000"/>
          <w:sz w:val="24"/>
          <w:highlight w:val="white"/>
        </w:rPr>
        <w:t>好。</w:t>
      </w:r>
    </w:p>
    <w:p>
      <w:pPr>
        <w:spacing w:line="322" w:lineRule="auto"/>
        <w:jc w:val="both"/>
      </w:pPr>
      <w:bookmarkStart w:name="6HVH-1626745380863" w:id="13"/>
      <w:bookmarkEnd w:id="13"/>
      <w:r>
        <w:rPr>
          <w:color w:val="000000"/>
          <w:sz w:val="24"/>
          <w:highlight w:val="white"/>
        </w:rPr>
        <w:t>资信是民事主体从事民事活动的能力和社会对其所作的综合评价，属于名誉权范畴。它由民事主体的经济实力，经济效益、履约能力和</w:t>
      </w:r>
      <w:hyperlink r:id="rId3">
        <w:r>
          <w:rPr>
            <w:color w:val="000000"/>
            <w:sz w:val="24"/>
          </w:rPr>
          <w:t>商业信誉</w:t>
        </w:r>
      </w:hyperlink>
      <w:r>
        <w:rPr>
          <w:color w:val="000000"/>
          <w:sz w:val="24"/>
          <w:highlight w:val="white"/>
        </w:rPr>
        <w:t>等要素决定，并具有专属性、时间性、非财产性、客观性、差异性和绝对性的特征。在市场经济中各个</w:t>
      </w:r>
      <w:hyperlink r:id="rId4">
        <w:r>
          <w:rPr>
            <w:color w:val="000000"/>
            <w:sz w:val="24"/>
          </w:rPr>
          <w:t>经济主体</w:t>
        </w:r>
      </w:hyperlink>
      <w:r>
        <w:rPr>
          <w:color w:val="000000"/>
          <w:sz w:val="24"/>
          <w:highlight w:val="white"/>
        </w:rPr>
        <w:t>在社会活动中都离不开信用，借、贷，购、销，人欠、欠我等等一切经济交往，均与信用有直接的关联。</w:t>
      </w:r>
    </w:p>
    <w:p>
      <w:pPr>
        <w:spacing w:line="322" w:lineRule="auto"/>
        <w:ind w:firstLine="0"/>
        <w:jc w:val="both"/>
      </w:pPr>
      <w:bookmarkStart w:name="sHFd-1626745479866" w:id="14"/>
      <w:bookmarkEnd w:id="14"/>
      <w:r>
        <w:rPr>
          <w:color w:val="000000"/>
          <w:sz w:val="24"/>
        </w:rPr>
        <w:t>第三方信用报告是由第三方信用服务机构出具的信用产品之一。简单的说，就是企业向机构提出申办要求，机构就会收集企业的资信资料，并作如实的记载和系统分析整理，撰写充分反映企业真实信用情况的报告。其内容一般包括：基本信息、经营水平、财务状况、盈利能力、履约状况、管理水平、发展前景和失信记录等内容。</w:t>
      </w:r>
    </w:p>
    <w:p>
      <w:pPr>
        <w:spacing w:line="322" w:lineRule="auto"/>
        <w:ind w:firstLine="0"/>
        <w:jc w:val="both"/>
      </w:pPr>
      <w:bookmarkStart w:name="cTSL-1641007280328" w:id="15"/>
      <w:bookmarkEnd w:id="15"/>
    </w:p>
    <w:p>
      <w:pPr>
        <w:pStyle w:val="1"/>
        <w:spacing w:line="240" w:lineRule="auto" w:before="0" w:after="0"/>
      </w:pPr>
      <w:bookmarkStart w:name="mLeA-1662278185827" w:id="16"/>
      <w:bookmarkEnd w:id="16"/>
      <w:r>
        <w:rPr>
          <w:rFonts w:ascii="微软雅黑" w:hAnsi="微软雅黑" w:cs="微软雅黑" w:eastAsia="微软雅黑"/>
          <w:b w:val="true"/>
          <w:color w:val="000000"/>
          <w:sz w:val="30"/>
        </w:rPr>
        <w:t>风控资信数据来源</w:t>
      </w:r>
    </w:p>
    <w:p>
      <w:pPr>
        <w:spacing w:line="322" w:lineRule="auto"/>
      </w:pPr>
      <w:bookmarkStart w:name="qno8-1636613401620" w:id="17"/>
      <w:bookmarkEnd w:id="17"/>
      <w:r>
        <w:rPr>
          <w:color w:val="000000"/>
          <w:sz w:val="24"/>
        </w:rPr>
        <w:t>二要素：姓名和身份证号码</w:t>
      </w:r>
    </w:p>
    <w:p>
      <w:pPr>
        <w:spacing w:line="322" w:lineRule="auto"/>
      </w:pPr>
      <w:bookmarkStart w:name="OG1E-1630657498163" w:id="18"/>
      <w:bookmarkEnd w:id="18"/>
      <w:r>
        <w:rPr>
          <w:color w:val="000000"/>
          <w:sz w:val="24"/>
        </w:rPr>
        <w:t>三要素：姓名、身份证号码、银行卡</w:t>
      </w:r>
    </w:p>
    <w:p>
      <w:pPr>
        <w:spacing w:line="322" w:lineRule="auto"/>
      </w:pPr>
      <w:bookmarkStart w:name="CbQK-1630657498163" w:id="19"/>
      <w:bookmarkEnd w:id="19"/>
      <w:r>
        <w:rPr>
          <w:color w:val="000000"/>
          <w:sz w:val="24"/>
        </w:rPr>
        <w:t>四要素：姓名、身份证号码、银行卡、手机预留号码</w:t>
      </w:r>
    </w:p>
    <w:p>
      <w:pPr>
        <w:spacing w:line="322" w:lineRule="auto"/>
      </w:pPr>
      <w:bookmarkStart w:name="eHVr-1630657498163" w:id="20"/>
      <w:bookmarkEnd w:id="20"/>
      <w:r>
        <w:rPr>
          <w:color w:val="000000"/>
          <w:sz w:val="24"/>
        </w:rPr>
        <w:t>数据来源：姓名和身份证号码一般来源于政府部门的身份数据库；银行卡和手机预留号码一般来源于银联数据库。</w:t>
      </w:r>
    </w:p>
    <w:p>
      <w:pPr>
        <w:spacing w:line="313" w:lineRule="auto"/>
      </w:pPr>
      <w:bookmarkStart w:name="y4tg-1632361390393" w:id="21"/>
      <w:bookmarkEnd w:id="21"/>
    </w:p>
    <w:p>
      <w:pPr>
        <w:pStyle w:val="1"/>
        <w:spacing w:line="322" w:lineRule="auto" w:before="0" w:after="0"/>
        <w:jc w:val="both"/>
      </w:pPr>
      <w:bookmarkStart w:name="1FJS-1662278202280" w:id="22"/>
      <w:bookmarkEnd w:id="22"/>
      <w:r>
        <w:rPr>
          <w:rFonts w:ascii="微软雅黑" w:hAnsi="微软雅黑" w:cs="微软雅黑" w:eastAsia="微软雅黑"/>
          <w:b w:val="true"/>
          <w:color w:val="000000"/>
          <w:sz w:val="42"/>
        </w:rPr>
        <w:t>动支</w:t>
      </w:r>
    </w:p>
    <w:p>
      <w:pPr>
        <w:spacing w:line="322" w:lineRule="auto"/>
        <w:ind w:firstLine="0"/>
        <w:jc w:val="both"/>
      </w:pPr>
      <w:bookmarkStart w:name="Gmyn-1636157283244" w:id="23"/>
      <w:bookmarkEnd w:id="23"/>
      <w:r>
        <w:rPr>
          <w:color w:val="000000"/>
          <w:sz w:val="24"/>
        </w:rPr>
        <w:t>动支，意思是动用和支取现金。动支就是事前审批，你申请做什么费用多少额度，主要的作用就是和预算结合来进行费用管控指提用；动用。《元典章·户部八·江南诸色课程》：“诸色课程，仰各道宣慰司并各路总管府，非奉省府明文不得动支。”清林则徐《请改大鹏营营制折》：“均请此项息银内动支，毋庸请动帑项。”</w:t>
      </w:r>
    </w:p>
    <w:p>
      <w:pPr>
        <w:spacing w:line="322" w:lineRule="auto"/>
        <w:ind w:firstLine="420"/>
        <w:jc w:val="both"/>
      </w:pPr>
      <w:bookmarkStart w:name="tc4R-1636157263614" w:id="24"/>
      <w:bookmarkEnd w:id="24"/>
    </w:p>
    <w:p>
      <w:pPr>
        <w:spacing w:line="322" w:lineRule="auto"/>
        <w:ind w:firstLine="420"/>
        <w:jc w:val="both"/>
      </w:pPr>
      <w:bookmarkStart w:name="NesV-1636157339983" w:id="25"/>
      <w:bookmarkEnd w:id="25"/>
    </w:p>
    <w:p>
      <w:pPr>
        <w:pStyle w:val="1"/>
        <w:spacing w:line="322" w:lineRule="auto" w:before="0" w:after="0"/>
        <w:jc w:val="both"/>
      </w:pPr>
      <w:bookmarkStart w:name="Qo7e-1662278202281" w:id="26"/>
      <w:bookmarkEnd w:id="26"/>
      <w:r>
        <w:rPr>
          <w:rFonts w:ascii="微软雅黑" w:hAnsi="微软雅黑" w:cs="微软雅黑" w:eastAsia="微软雅黑"/>
          <w:b w:val="true"/>
          <w:color w:val="000000"/>
          <w:sz w:val="42"/>
        </w:rPr>
        <w:t>多头借贷</w:t>
      </w:r>
    </w:p>
    <w:p>
      <w:pPr>
        <w:spacing w:line="322" w:lineRule="auto"/>
        <w:ind w:firstLine="0"/>
        <w:jc w:val="both"/>
      </w:pPr>
      <w:bookmarkStart w:name="kvmF-1631600596355" w:id="27"/>
      <w:bookmarkEnd w:id="27"/>
      <w:r>
        <w:rPr>
          <w:color w:val="000000"/>
          <w:sz w:val="24"/>
        </w:rPr>
        <w:t>多头借贷是指单个借款人向2家或2家以上的金融机构提出借贷需求的行为。多头借贷数据一般至少会粗分成银行类多头借贷、非银类多头借贷。按时间跨度可以分为近7天、近15天、近1个月、近3个月、近6个月、近12个月。</w:t>
      </w:r>
    </w:p>
    <w:p>
      <w:pPr>
        <w:spacing w:line="322" w:lineRule="auto"/>
        <w:ind w:firstLine="420"/>
        <w:jc w:val="both"/>
      </w:pPr>
      <w:bookmarkStart w:name="QAPB-1636157279450" w:id="28"/>
      <w:bookmarkEnd w:id="28"/>
    </w:p>
    <w:p>
      <w:pPr>
        <w:spacing w:line="322" w:lineRule="auto"/>
        <w:ind w:firstLine="420"/>
        <w:jc w:val="both"/>
      </w:pPr>
      <w:bookmarkStart w:name="GnQR-1636157340934" w:id="29"/>
      <w:bookmarkEnd w:id="29"/>
    </w:p>
    <w:p>
      <w:pPr>
        <w:pStyle w:val="1"/>
        <w:spacing w:line="322" w:lineRule="auto" w:before="0" w:after="0"/>
        <w:ind w:firstLine="0"/>
        <w:jc w:val="both"/>
      </w:pPr>
      <w:bookmarkStart w:name="N0eP-1662278202282" w:id="30"/>
      <w:bookmarkEnd w:id="30"/>
      <w:r>
        <w:rPr>
          <w:rFonts w:ascii="微软雅黑" w:hAnsi="微软雅黑" w:cs="微软雅黑" w:eastAsia="微软雅黑"/>
          <w:b w:val="true"/>
          <w:color w:val="000000"/>
          <w:sz w:val="42"/>
        </w:rPr>
        <w:t>风控挡板</w:t>
      </w:r>
    </w:p>
    <w:p>
      <w:pPr>
        <w:spacing w:line="322" w:lineRule="auto"/>
      </w:pPr>
      <w:bookmarkStart w:name="CB7o-1636157279691" w:id="31"/>
      <w:bookmarkEnd w:id="31"/>
      <w:r>
        <w:rPr>
          <w:color w:val="000000"/>
          <w:sz w:val="24"/>
          <w:highlight w:val="white"/>
        </w:rPr>
        <w:t>风控系统挡板，拦截信用评分较低的用户。</w:t>
      </w:r>
    </w:p>
    <w:p>
      <w:pPr>
        <w:spacing w:line="322" w:lineRule="auto"/>
      </w:pPr>
      <w:bookmarkStart w:name="Ki7g-1641007227194" w:id="32"/>
      <w:bookmarkEnd w:id="32"/>
    </w:p>
    <w:p>
      <w:pPr>
        <w:spacing w:line="322" w:lineRule="auto"/>
      </w:pPr>
      <w:bookmarkStart w:name="xaIy-1641007229890" w:id="33"/>
      <w:bookmarkEnd w:id="33"/>
    </w:p>
    <w:p>
      <w:pPr>
        <w:pStyle w:val="1"/>
        <w:spacing w:line="322" w:lineRule="auto" w:before="0" w:after="0"/>
        <w:ind w:firstLine="0"/>
        <w:jc w:val="both"/>
      </w:pPr>
      <w:bookmarkStart w:name="0BKZ-1662278202283" w:id="34"/>
      <w:bookmarkEnd w:id="34"/>
      <w:r>
        <w:rPr>
          <w:rFonts w:ascii="微软雅黑" w:hAnsi="微软雅黑" w:cs="微软雅黑" w:eastAsia="微软雅黑"/>
          <w:b w:val="true"/>
          <w:color w:val="000000"/>
          <w:sz w:val="42"/>
        </w:rPr>
        <w:t>白户</w:t>
      </w:r>
    </w:p>
    <w:p>
      <w:pPr>
        <w:spacing w:line="322" w:lineRule="auto"/>
        <w:jc w:val="both"/>
      </w:pPr>
      <w:bookmarkStart w:name="Gaaa-1641007227358" w:id="35"/>
      <w:bookmarkEnd w:id="35"/>
      <w:r>
        <w:rPr>
          <w:color w:val="000000"/>
          <w:sz w:val="24"/>
        </w:rPr>
        <w:t>1、白户是指有申请记录，但最后申请失败，时间半年以上。</w:t>
      </w:r>
    </w:p>
    <w:p>
      <w:pPr>
        <w:spacing w:line="322" w:lineRule="auto"/>
        <w:jc w:val="both"/>
      </w:pPr>
      <w:bookmarkStart w:name="TPL2-1631847038105" w:id="36"/>
      <w:bookmarkEnd w:id="36"/>
      <w:r>
        <w:rPr>
          <w:color w:val="000000"/>
          <w:sz w:val="24"/>
        </w:rPr>
        <w:t>2、纯白户是指，没有申请过信用卡与贷款，个人信用空白的叫纯白户。</w:t>
      </w:r>
    </w:p>
    <w:p>
      <w:pPr>
        <w:spacing w:line="322" w:lineRule="auto"/>
        <w:jc w:val="both"/>
      </w:pPr>
      <w:bookmarkStart w:name="qbjN-1631847083893" w:id="37"/>
      <w:bookmarkEnd w:id="37"/>
    </w:p>
    <w:p>
      <w:pPr>
        <w:spacing w:line="322" w:lineRule="auto"/>
        <w:jc w:val="both"/>
      </w:pPr>
      <w:bookmarkStart w:name="50ns-1631847084030" w:id="38"/>
      <w:bookmarkEnd w:id="38"/>
      <w:r>
        <w:rPr>
          <w:color w:val="000000"/>
          <w:sz w:val="24"/>
        </w:rPr>
        <w:t>对于金融机构来说，白户和纯白户都是指没有有效银行信用记录的客户群体，这类人群在办理贷款时，难免会卡壳遇阻。虽然是“白户”，但是当再次申请贷款时，金融机构依然可以看到之前的查询记录，出于风险防控方面的考虑，多数银行会由此影响到审批贷款的结果。</w:t>
      </w:r>
    </w:p>
    <w:p>
      <w:pPr>
        <w:spacing w:line="322" w:lineRule="auto"/>
        <w:jc w:val="both"/>
      </w:pPr>
      <w:bookmarkStart w:name="W1e9-1639828434383" w:id="39"/>
      <w:bookmarkEnd w:id="39"/>
    </w:p>
    <w:p>
      <w:pPr>
        <w:spacing w:line="322" w:lineRule="auto"/>
        <w:jc w:val="both"/>
      </w:pPr>
      <w:bookmarkStart w:name="pEcJ-1639828413586" w:id="40"/>
      <w:bookmarkEnd w:id="40"/>
      <w:r>
        <w:rPr>
          <w:color w:val="000000"/>
          <w:sz w:val="24"/>
        </w:rPr>
        <w:t>而“纯白户”，没有查询记录，实际上也要比有征信记录的客户更难获得贷款，因为没有有效个人征信记录，很难体现借款人的还款意愿，银行也无法参考判断该借款人是否能够按时足额还款，所以为了控制银行自身的坏账风险，一般会谨慎放款。</w:t>
      </w:r>
    </w:p>
    <w:p>
      <w:pPr>
        <w:spacing w:line="322" w:lineRule="auto"/>
        <w:jc w:val="both"/>
      </w:pPr>
      <w:bookmarkStart w:name="CrGm-1639828435249" w:id="41"/>
      <w:bookmarkEnd w:id="41"/>
    </w:p>
    <w:p>
      <w:pPr>
        <w:spacing w:line="322" w:lineRule="auto"/>
        <w:jc w:val="both"/>
      </w:pPr>
      <w:bookmarkStart w:name="S8QC-1639828420202" w:id="42"/>
      <w:bookmarkEnd w:id="42"/>
      <w:r>
        <w:rPr>
          <w:color w:val="000000"/>
          <w:sz w:val="24"/>
        </w:rPr>
        <w:t>所以说，白户和纯白户，一种是有过放款失败的前科，一种是不知道申请人还款意愿，这些在金融机构认为都是风险的。</w:t>
      </w:r>
    </w:p>
    <w:p>
      <w:pPr>
        <w:spacing w:line="322" w:lineRule="auto"/>
        <w:jc w:val="both"/>
      </w:pPr>
      <w:bookmarkStart w:name="TYw7-1641007688739" w:id="43"/>
      <w:bookmarkEnd w:id="43"/>
    </w:p>
    <w:p>
      <w:pPr>
        <w:spacing w:line="322" w:lineRule="auto"/>
        <w:jc w:val="both"/>
      </w:pPr>
      <w:bookmarkStart w:name="F8H5-1641007688914" w:id="44"/>
      <w:bookmarkEnd w:id="44"/>
    </w:p>
    <w:p>
      <w:pPr>
        <w:pStyle w:val="1"/>
        <w:spacing w:line="322" w:lineRule="auto" w:before="0" w:after="0"/>
        <w:jc w:val="both"/>
      </w:pPr>
      <w:bookmarkStart w:name="jINS-1662278202284" w:id="45"/>
      <w:bookmarkEnd w:id="45"/>
      <w:r>
        <w:rPr>
          <w:rFonts w:ascii="微软雅黑" w:hAnsi="微软雅黑" w:cs="微软雅黑" w:eastAsia="微软雅黑"/>
          <w:b w:val="true"/>
          <w:color w:val="000000"/>
          <w:sz w:val="42"/>
        </w:rPr>
        <w:t>反欺诈</w:t>
      </w:r>
    </w:p>
    <w:p>
      <w:pPr>
        <w:spacing w:line="313" w:lineRule="auto"/>
        <w:jc w:val="both"/>
      </w:pPr>
      <w:bookmarkStart w:name="RRA3-1641007689313" w:id="46"/>
      <w:bookmarkEnd w:id="46"/>
      <w:r>
        <w:rPr>
          <w:color w:val="000000"/>
          <w:sz w:val="24"/>
          <w:highlight w:val="white"/>
        </w:rPr>
        <w:t>欺诈行为的要素有两个：一个是错误认识，第二就是故意行为。欺诈行为认定看的是过程，而不是结果。</w:t>
      </w:r>
    </w:p>
    <w:p>
      <w:pPr>
        <w:spacing w:line="313" w:lineRule="auto"/>
        <w:jc w:val="both"/>
      </w:pPr>
      <w:bookmarkStart w:name="dYH7-1636015346767" w:id="47"/>
      <w:bookmarkEnd w:id="47"/>
    </w:p>
    <w:p>
      <w:pPr>
        <w:spacing w:line="313" w:lineRule="auto"/>
        <w:jc w:val="both"/>
      </w:pPr>
      <w:bookmarkStart w:name="ZUEw-1636015346919" w:id="48"/>
      <w:bookmarkEnd w:id="48"/>
      <w:r>
        <w:rPr>
          <w:color w:val="000000"/>
          <w:sz w:val="24"/>
        </w:rPr>
        <w:t>互联网金融领域里对于欺诈的</w:t>
      </w:r>
      <w:r>
        <w:rPr>
          <w:b w:val="true"/>
          <w:color w:val="000000"/>
          <w:sz w:val="24"/>
        </w:rPr>
        <w:t>第一种分类方式，就是按欺诈者来自于哪方作为分类依据，把欺诈分为第一方欺诈、第二方欺诈、第三方欺诈。</w:t>
      </w:r>
    </w:p>
    <w:p>
      <w:pPr>
        <w:spacing w:line="313" w:lineRule="auto"/>
        <w:jc w:val="both"/>
      </w:pPr>
      <w:bookmarkStart w:name="udtK-1636015347429" w:id="49"/>
      <w:bookmarkEnd w:id="49"/>
    </w:p>
    <w:p>
      <w:pPr>
        <w:spacing w:line="313" w:lineRule="auto"/>
        <w:jc w:val="both"/>
      </w:pPr>
      <w:bookmarkStart w:name="1EWY-1636015366169" w:id="50"/>
      <w:bookmarkEnd w:id="50"/>
      <w:r>
        <w:rPr>
          <w:color w:val="000000"/>
          <w:sz w:val="24"/>
        </w:rPr>
        <w:t>所谓第一方欺诈，就是欺诈者拿自己的真实身份来进行欺诈。这种也就是最近业内的一句名言“老子凭本事骗来的钱为啥要还”所说的欺诈。在某种程度上看这句话还真是话糙理不糙，因为这种“硬”骗都可以骗到钱，那说明平台的风险控制确实有很大的风险。但实际上各位细心的读者可能已经发现了，这种分类方法中的第一方欺诈其实从严格意义上来说不是严格符合“欺诈”定义的，因为这种行为虽然符合“故意行为”，但不是完全的“错误认识”：所谓的“欺诈者”用的是自己的真实身份，至少在这个最重要的身份信息上没有误导平台。</w:t>
      </w:r>
    </w:p>
    <w:p>
      <w:pPr>
        <w:spacing w:line="313" w:lineRule="auto"/>
        <w:jc w:val="both"/>
      </w:pPr>
      <w:bookmarkStart w:name="Bv8g-1636015347429" w:id="51"/>
      <w:bookmarkEnd w:id="51"/>
    </w:p>
    <w:p>
      <w:pPr>
        <w:spacing w:line="313" w:lineRule="auto"/>
        <w:jc w:val="both"/>
      </w:pPr>
      <w:bookmarkStart w:name="cCLF-1636015362977" w:id="52"/>
      <w:bookmarkEnd w:id="52"/>
      <w:r>
        <w:rPr>
          <w:color w:val="000000"/>
          <w:sz w:val="24"/>
        </w:rPr>
        <w:t>第二方欺诈，是指欺诈者来自于企业内部，一般是企业的员工或者渠道进行内部欺诈或者内外勾结欺诈。第二方欺诈实际上就是巴塞尔协议中操作风险中的内部欺诈。在国内对于第二方的概念会有些混淆，有人把“借用”亲戚朋友身份进行欺诈的行为定义为第二方欺诈，但实际上这是有问题的：如果被“借用”身份者在欺诈过程中知情并且分享收益，那其实就是第一方欺诈；而如果被“借用”身份者在这个过程里毫不知情那就可以归类到第三方欺诈中。简单的说，第二方欺诈就是“内”骗。</w:t>
      </w:r>
    </w:p>
    <w:p>
      <w:pPr>
        <w:spacing w:line="313" w:lineRule="auto"/>
        <w:jc w:val="both"/>
      </w:pPr>
      <w:bookmarkStart w:name="wnme-1636015347429" w:id="53"/>
      <w:bookmarkEnd w:id="53"/>
    </w:p>
    <w:p>
      <w:pPr>
        <w:spacing w:line="313" w:lineRule="auto"/>
        <w:jc w:val="both"/>
      </w:pPr>
      <w:bookmarkStart w:name="cuhL-1636015364336" w:id="54"/>
      <w:bookmarkEnd w:id="54"/>
      <w:r>
        <w:rPr>
          <w:color w:val="000000"/>
          <w:sz w:val="24"/>
        </w:rPr>
        <w:t>而第三方欺诈，欺诈者既不是来自于客户，也不是来自企业内部，而是来自于与上述两方都无关的第三方。如果在信贷场景里，欺诈者和名义借贷者毫无关系，第三方欺诈中名义借贷者的大量身份往往都是欺诈者通过黑色产业链购买来或者养起来的。这时的欺诈者其实也就变成了黑产大军中的一个链条，可以说是发展成了“团”骗。</w:t>
      </w:r>
    </w:p>
    <w:p>
      <w:pPr>
        <w:spacing w:line="313" w:lineRule="auto"/>
        <w:jc w:val="both"/>
      </w:pPr>
      <w:bookmarkStart w:name="BkA9-1662278225503" w:id="55"/>
      <w:bookmarkEnd w:id="55"/>
    </w:p>
    <w:p>
      <w:pPr>
        <w:pStyle w:val="1"/>
        <w:spacing w:line="322" w:lineRule="auto" w:before="0" w:after="0"/>
        <w:jc w:val="both"/>
      </w:pPr>
      <w:bookmarkStart w:name="hZGE-1662278225676" w:id="56"/>
      <w:bookmarkEnd w:id="56"/>
      <w:r>
        <w:rPr>
          <w:rFonts w:ascii="微软雅黑" w:hAnsi="微软雅黑" w:cs="微软雅黑" w:eastAsia="微软雅黑"/>
          <w:b w:val="true"/>
          <w:color w:val="000000"/>
          <w:sz w:val="42"/>
          <w:highlight w:val="white"/>
        </w:rPr>
        <w:t>核准率</w:t>
      </w:r>
    </w:p>
    <w:p>
      <w:pPr>
        <w:spacing w:line="322" w:lineRule="auto"/>
        <w:jc w:val="both"/>
      </w:pPr>
      <w:bookmarkStart w:name="a6i2-1636249114663" w:id="57"/>
      <w:bookmarkEnd w:id="57"/>
      <w:r>
        <w:rPr>
          <w:color w:val="000000"/>
          <w:sz w:val="24"/>
        </w:rPr>
        <w:t>在选择模型时，要去的违约率和核准率的一个平衡。一般核准率低，违约率低，核准率高，违约率高。核准率通俗点讲是在一定的规则约束下，允许个体进入我们样本的比例，比例高，说明规则拦截力度小，比例小，说明拦截力度大。</w:t>
      </w:r>
    </w:p>
    <w:p>
      <w:pPr>
        <w:spacing w:line="322" w:lineRule="auto"/>
        <w:jc w:val="both"/>
      </w:pPr>
      <w:bookmarkStart w:name="Pwrd-1635127864976" w:id="58"/>
      <w:bookmarkEnd w:id="58"/>
    </w:p>
    <w:p>
      <w:pPr>
        <w:spacing w:line="322" w:lineRule="auto"/>
        <w:jc w:val="both"/>
      </w:pPr>
      <w:bookmarkStart w:name="gPDz-1641007443616" w:id="59"/>
      <w:bookmarkEnd w:id="59"/>
    </w:p>
    <w:p>
      <w:pPr>
        <w:pStyle w:val="1"/>
        <w:spacing w:line="322" w:lineRule="auto" w:before="0" w:after="0"/>
        <w:jc w:val="both"/>
      </w:pPr>
      <w:bookmarkStart w:name="Fmls-1662278226279" w:id="60"/>
      <w:bookmarkEnd w:id="60"/>
      <w:r>
        <w:rPr>
          <w:rFonts w:ascii="微软雅黑" w:hAnsi="微软雅黑" w:cs="微软雅黑" w:eastAsia="微软雅黑"/>
          <w:b w:val="true"/>
          <w:color w:val="000000"/>
          <w:sz w:val="42"/>
        </w:rPr>
        <w:t>违约率</w:t>
      </w:r>
    </w:p>
    <w:p>
      <w:pPr>
        <w:spacing w:line="322" w:lineRule="auto"/>
        <w:jc w:val="both"/>
      </w:pPr>
      <w:bookmarkStart w:name="DiM0-1635127851992" w:id="61"/>
      <w:bookmarkEnd w:id="61"/>
      <w:r>
        <w:rPr>
          <w:color w:val="000000"/>
          <w:sz w:val="24"/>
        </w:rPr>
        <w:t>违约率是指每组的违约个数占此分组总个数的比例，一般随着信用风险等级的增加，违约率呈逐渐升高的趋势。</w:t>
      </w:r>
    </w:p>
    <w:p>
      <w:pPr>
        <w:spacing w:line="322" w:lineRule="auto"/>
        <w:jc w:val="both"/>
      </w:pPr>
      <w:bookmarkStart w:name="UgAU-1641007379705" w:id="62"/>
      <w:bookmarkEnd w:id="62"/>
    </w:p>
    <w:p>
      <w:pPr>
        <w:spacing w:line="322" w:lineRule="auto"/>
        <w:jc w:val="both"/>
      </w:pPr>
      <w:bookmarkStart w:name="MkG5-1641007455653" w:id="63"/>
      <w:bookmarkEnd w:id="63"/>
    </w:p>
    <w:p>
      <w:pPr>
        <w:pStyle w:val="1"/>
        <w:spacing w:line="322" w:lineRule="auto" w:before="0" w:after="0"/>
        <w:jc w:val="both"/>
      </w:pPr>
      <w:bookmarkStart w:name="MWfY-1662278226280" w:id="64"/>
      <w:bookmarkEnd w:id="64"/>
      <w:r>
        <w:rPr>
          <w:rFonts w:ascii="微软雅黑" w:hAnsi="微软雅黑" w:cs="微软雅黑" w:eastAsia="微软雅黑"/>
          <w:b w:val="true"/>
          <w:color w:val="000000"/>
          <w:sz w:val="42"/>
        </w:rPr>
        <w:t>个人信用报告</w:t>
      </w:r>
    </w:p>
    <w:p>
      <w:pPr>
        <w:spacing w:line="313" w:lineRule="auto"/>
      </w:pPr>
      <w:bookmarkStart w:name="39Zi-1641007379854" w:id="65"/>
      <w:bookmarkEnd w:id="65"/>
      <w:r>
        <w:rPr>
          <w:color w:val="000000"/>
        </w:rPr>
        <w:t>个人信用报告是用于记录信息主体在社会经济活动中形成的信用信息的文件。本质上，个人信用报告是由各类信息记录组成的数据集合。</w:t>
      </w:r>
    </w:p>
    <w:p>
      <w:pPr/>
      <w:bookmarkStart w:name="fyiS-1709365831375" w:id="66"/>
      <w:bookmarkEnd w:id="66"/>
    </w:p>
    <w:p>
      <w:pPr>
        <w:spacing w:line="313" w:lineRule="auto"/>
      </w:pPr>
      <w:bookmarkStart w:name="uFkN-1632742569399" w:id="67"/>
      <w:bookmarkEnd w:id="67"/>
    </w:p>
    <w:p>
      <w:pPr>
        <w:pStyle w:val="1"/>
        <w:spacing w:line="322" w:lineRule="auto" w:before="0" w:after="0"/>
        <w:jc w:val="both"/>
      </w:pPr>
      <w:bookmarkStart w:name="PZow-1672391951278" w:id="68"/>
      <w:bookmarkEnd w:id="68"/>
      <w:r>
        <w:rPr>
          <w:rFonts w:ascii="微软雅黑" w:hAnsi="微软雅黑" w:cs="微软雅黑" w:eastAsia="微软雅黑"/>
          <w:b w:val="true"/>
          <w:color w:val="000000"/>
          <w:sz w:val="42"/>
        </w:rPr>
        <w:t>法务</w:t>
      </w:r>
    </w:p>
    <w:p>
      <w:pPr>
        <w:spacing w:line="322" w:lineRule="auto"/>
        <w:jc w:val="both"/>
      </w:pPr>
      <w:bookmarkStart w:name="cFPh-1636023684121" w:id="69"/>
      <w:bookmarkEnd w:id="69"/>
      <w:r>
        <w:rPr>
          <w:color w:val="000000"/>
          <w:sz w:val="24"/>
        </w:rPr>
        <w:t>内部的律师，对应律所的话，是非诉讼team。一般法务遇到需要诉讼的事情，还是会外包到律所的诉讼team。 比如，如果银行遇到恶意逾期，需要起诉。法务是与外包的诉讼律师一起研究方案，但不直接出庭的。要通过司法考试。</w:t>
      </w:r>
    </w:p>
    <w:p>
      <w:pPr/>
      <w:bookmarkStart w:name="9zAh-1633159242723" w:id="70"/>
      <w:bookmarkEnd w:id="70"/>
    </w:p>
    <w:p>
      <w:pPr/>
      <w:bookmarkStart w:name="8ZoK-1636023708592" w:id="71"/>
      <w:bookmarkEnd w:id="71"/>
    </w:p>
    <w:p>
      <w:pPr>
        <w:pStyle w:val="1"/>
        <w:spacing w:line="313" w:lineRule="auto" w:before="0" w:after="0"/>
        <w:jc w:val="both"/>
      </w:pPr>
      <w:bookmarkStart w:name="Ppnd-1672391951740" w:id="72"/>
      <w:bookmarkEnd w:id="72"/>
      <w:r>
        <w:rPr>
          <w:rFonts w:ascii="微软雅黑" w:hAnsi="微软雅黑" w:cs="微软雅黑" w:eastAsia="微软雅黑"/>
          <w:b w:val="true"/>
          <w:color w:val="000000"/>
          <w:sz w:val="30"/>
        </w:rPr>
        <w:t>合规</w:t>
      </w:r>
    </w:p>
    <w:p>
      <w:pPr>
        <w:spacing w:line="313" w:lineRule="auto"/>
        <w:jc w:val="both"/>
      </w:pPr>
      <w:bookmarkStart w:name="11C9-1636023702257" w:id="73"/>
      <w:bookmarkEnd w:id="73"/>
      <w:r>
        <w:rPr>
          <w:color w:val="000000"/>
        </w:rPr>
        <w:t>根据监管机构的要求，公司内部先沙盘推演一下，规避不合规部分。同时，好的合规需要和监管部门有着密切的沟通，极强的沟通能力。听得懂，监管底线在哪里，擦边球在哪里。那些公司想做，监管可能有受限，怎么协商或者换个方式“合法合理”地做到。有法律背景的更好，但不强求。</w:t>
      </w:r>
    </w:p>
    <w:p>
      <w:pPr>
        <w:spacing w:line="322" w:lineRule="auto"/>
        <w:jc w:val="both"/>
      </w:pPr>
      <w:bookmarkStart w:name="e4wN-1633159321904" w:id="74"/>
      <w:bookmarkEnd w:id="74"/>
    </w:p>
    <w:p>
      <w:pPr>
        <w:spacing w:line="322" w:lineRule="auto"/>
        <w:jc w:val="both"/>
      </w:pPr>
      <w:bookmarkStart w:name="VThc-1636023718842" w:id="75"/>
      <w:bookmarkEnd w:id="75"/>
      <w:r>
        <w:rPr>
          <w:color w:val="000000"/>
          <w:sz w:val="24"/>
        </w:rPr>
        <w:t>合规（Compliance Troubles）是指</w:t>
      </w:r>
      <w:hyperlink r:id="rId5">
        <w:r>
          <w:rPr>
            <w:color w:val="000000"/>
            <w:sz w:val="24"/>
          </w:rPr>
          <w:t>商业银行</w:t>
        </w:r>
      </w:hyperlink>
      <w:r>
        <w:rPr>
          <w:color w:val="000000"/>
          <w:sz w:val="24"/>
        </w:rPr>
        <w:t>的经营活动与法律、规则和准则相一致。从</w:t>
      </w:r>
      <w:hyperlink r:id="rId6">
        <w:r>
          <w:rPr>
            <w:color w:val="000000"/>
            <w:sz w:val="24"/>
          </w:rPr>
          <w:t>巴塞尔银行监管委员会</w:t>
        </w:r>
      </w:hyperlink>
      <w:r>
        <w:rPr>
          <w:color w:val="000000"/>
          <w:sz w:val="24"/>
        </w:rPr>
        <w:t>关于</w:t>
      </w:r>
      <w:hyperlink r:id="rId7">
        <w:r>
          <w:rPr>
            <w:color w:val="000000"/>
            <w:sz w:val="24"/>
          </w:rPr>
          <w:t>合规风险</w:t>
        </w:r>
      </w:hyperlink>
      <w:r>
        <w:rPr>
          <w:color w:val="000000"/>
          <w:sz w:val="24"/>
        </w:rPr>
        <w:t>的界定来看，银行的合规特指遵守法律、法规、监管规则或标准。</w:t>
      </w:r>
    </w:p>
    <w:p>
      <w:pPr>
        <w:spacing w:line="322" w:lineRule="auto"/>
        <w:jc w:val="both"/>
      </w:pPr>
      <w:bookmarkStart w:name="R8Dg-1628391984974" w:id="76"/>
      <w:bookmarkEnd w:id="76"/>
    </w:p>
    <w:p>
      <w:pPr>
        <w:spacing w:line="322" w:lineRule="auto"/>
        <w:ind w:firstLine="0"/>
        <w:jc w:val="both"/>
      </w:pPr>
      <w:bookmarkStart w:name="0fAq-1628391985116" w:id="77"/>
      <w:bookmarkEnd w:id="77"/>
      <w:r>
        <w:rPr>
          <w:color w:val="000000"/>
          <w:sz w:val="24"/>
        </w:rPr>
        <w:t>近些年， “依法合规”一词在我国商业银行监督管理工作中经常使用。但是，许多人对“合规”概念的理解却是表面化的，有的将“合规”理解为银行及其分支机构的经营管理行为必须符合银行总行制定的规章制度；有的将“合规”简单地理解为就是符合规定，不符合规定就是违规。显然，这些理解与国际银行业对“合规”的理解是不一致的。</w:t>
      </w:r>
    </w:p>
    <w:p>
      <w:pPr>
        <w:spacing w:line="322" w:lineRule="auto"/>
        <w:ind w:firstLine="0"/>
        <w:jc w:val="both"/>
      </w:pPr>
      <w:bookmarkStart w:name="gjjH-1628391985846" w:id="78"/>
      <w:bookmarkEnd w:id="78"/>
    </w:p>
    <w:p>
      <w:pPr>
        <w:spacing w:line="322" w:lineRule="auto"/>
        <w:ind w:firstLine="0"/>
        <w:jc w:val="both"/>
      </w:pPr>
      <w:bookmarkStart w:name="3541-1636023728216" w:id="79"/>
      <w:bookmarkEnd w:id="79"/>
      <w:r>
        <w:rPr>
          <w:color w:val="000000"/>
          <w:sz w:val="24"/>
        </w:rPr>
        <w:t>《</w:t>
      </w:r>
      <w:hyperlink r:id="rId8">
        <w:r>
          <w:rPr>
            <w:color w:val="000000"/>
            <w:sz w:val="24"/>
          </w:rPr>
          <w:t>商业银行合规风险管理指引</w:t>
        </w:r>
      </w:hyperlink>
      <w:r>
        <w:rPr>
          <w:color w:val="000000"/>
          <w:sz w:val="24"/>
        </w:rPr>
        <w:t>》对合规的含义也进行了如下明确：“是指商业银行的经营活动与法律、规则和准则相一致。”与银行经营业务相关的法律、规则及标准，包括诸如</w:t>
      </w:r>
      <w:hyperlink r:id="rId9">
        <w:r>
          <w:rPr>
            <w:color w:val="000000"/>
            <w:sz w:val="24"/>
          </w:rPr>
          <w:t>反洗钱</w:t>
        </w:r>
      </w:hyperlink>
      <w:r>
        <w:rPr>
          <w:color w:val="000000"/>
          <w:sz w:val="24"/>
        </w:rPr>
        <w:t>、防止恐怖分子进行融资活动的相关规定、涉及银行经营的准则包括避免或减少利益冲突等问题、隐私、数据保护以及消费者信贷等方面的规定。此外， 依据监管部门或银行自身采取的不同监督管理模式，上述法律、规则及标准还可延伸至银行经营范围之外的法律、规则及准则，如劳动就业方面的法律法规及税法等。</w:t>
      </w:r>
    </w:p>
    <w:p>
      <w:pPr>
        <w:spacing w:line="322" w:lineRule="auto"/>
        <w:ind w:firstLine="0"/>
        <w:jc w:val="both"/>
      </w:pPr>
      <w:bookmarkStart w:name="XNN3-1628391985846" w:id="80"/>
      <w:bookmarkEnd w:id="80"/>
    </w:p>
    <w:p>
      <w:pPr>
        <w:spacing w:line="322" w:lineRule="auto"/>
        <w:ind w:firstLine="0"/>
        <w:jc w:val="both"/>
      </w:pPr>
      <w:bookmarkStart w:name="NzUk-1636023731297" w:id="81"/>
      <w:bookmarkEnd w:id="81"/>
      <w:r>
        <w:rPr>
          <w:color w:val="000000"/>
          <w:sz w:val="24"/>
        </w:rPr>
        <w:t>法律、规则及准则可能有不同的渊源，包括监管部门制定的法律、规则及准则、市场公约，行业协会制定的行业守则以及适用于银行内部员工的内部行为守则。它们不仅包括那些具有法律约束力的文件，还应包括更广义上的诚实廉正和公平交易的行为准则。</w:t>
      </w:r>
    </w:p>
    <w:p>
      <w:pPr>
        <w:spacing w:line="322" w:lineRule="auto"/>
        <w:ind w:firstLine="420"/>
        <w:jc w:val="both"/>
      </w:pPr>
      <w:bookmarkStart w:name="r2P4-1636023668933" w:id="82"/>
      <w:bookmarkEnd w:id="82"/>
    </w:p>
    <w:p>
      <w:pPr>
        <w:spacing w:line="313" w:lineRule="auto"/>
        <w:jc w:val="both"/>
      </w:pPr>
      <w:bookmarkStart w:name="FcUp-1636023679024" w:id="83"/>
      <w:bookmarkEnd w:id="83"/>
    </w:p>
    <w:p>
      <w:pPr>
        <w:pStyle w:val="1"/>
        <w:spacing w:line="313" w:lineRule="auto" w:before="0" w:after="0"/>
        <w:jc w:val="both"/>
      </w:pPr>
      <w:bookmarkStart w:name="ZBod-1672391951741" w:id="84"/>
      <w:bookmarkEnd w:id="84"/>
      <w:r>
        <w:rPr>
          <w:rFonts w:ascii="微软雅黑" w:hAnsi="微软雅黑" w:cs="微软雅黑" w:eastAsia="微软雅黑"/>
          <w:b w:val="true"/>
          <w:color w:val="000000"/>
          <w:sz w:val="30"/>
        </w:rPr>
        <w:t>风控</w:t>
      </w:r>
    </w:p>
    <w:p>
      <w:pPr>
        <w:spacing w:line="322" w:lineRule="auto"/>
        <w:jc w:val="both"/>
      </w:pPr>
      <w:bookmarkStart w:name="URUK-1636023738272" w:id="85"/>
      <w:bookmarkEnd w:id="85"/>
      <w:r>
        <w:rPr>
          <w:color w:val="000000"/>
          <w:sz w:val="24"/>
        </w:rPr>
        <w:t>如果银行的话，风控概念就大点了（就说3个简单的吧）</w:t>
      </w:r>
    </w:p>
    <w:p>
      <w:pPr>
        <w:spacing w:line="322" w:lineRule="auto"/>
        <w:jc w:val="both"/>
      </w:pPr>
      <w:bookmarkStart w:name="OZG6-1633159226062" w:id="86"/>
      <w:bookmarkEnd w:id="86"/>
      <w:r>
        <w:rPr>
          <w:color w:val="000000"/>
          <w:sz w:val="24"/>
        </w:rPr>
        <w:t>广义来说：Risk是个很大的概念，下面有：</w:t>
      </w:r>
      <w:r>
        <w:rPr>
          <w:color w:val="000000"/>
          <w:sz w:val="24"/>
          <w:highlight w:val="white"/>
        </w:rPr>
        <w:t>credit risk信贷风险, market risk市场风险, operational risk 营运风险, legal 法务, compliance 合规, internal audit 内审, internal control 内控 等。</w:t>
      </w:r>
      <w:r>
        <w:rPr>
          <w:color w:val="000000"/>
          <w:sz w:val="24"/>
        </w:rPr>
        <w:t xml:space="preserve"> 以下先说credit risk 层面简单的3个点：</w:t>
      </w:r>
    </w:p>
    <w:p>
      <w:pPr>
        <w:spacing w:line="322" w:lineRule="auto"/>
        <w:jc w:val="both"/>
      </w:pPr>
      <w:bookmarkStart w:name="VkBS-1633159226063" w:id="87"/>
      <w:bookmarkEnd w:id="87"/>
      <w:r>
        <w:rPr>
          <w:color w:val="000000"/>
          <w:sz w:val="24"/>
        </w:rPr>
        <w:t>1、Credit Analysis --根据企业和所在行业实际情况，写风险评估报告。包括看财报，现场勘查，评估等。</w:t>
      </w:r>
    </w:p>
    <w:p>
      <w:pPr>
        <w:spacing w:line="322" w:lineRule="auto"/>
        <w:jc w:val="both"/>
      </w:pPr>
      <w:bookmarkStart w:name="Yetl-1633159226063" w:id="88"/>
      <w:bookmarkEnd w:id="88"/>
      <w:r>
        <w:rPr>
          <w:color w:val="000000"/>
          <w:sz w:val="24"/>
        </w:rPr>
        <w:t>2、Approval --看企业资质，能不能放款，放多少。</w:t>
      </w:r>
    </w:p>
    <w:p>
      <w:pPr>
        <w:spacing w:line="322" w:lineRule="auto"/>
        <w:jc w:val="both"/>
      </w:pPr>
      <w:bookmarkStart w:name="IEre-1633159226063" w:id="89"/>
      <w:bookmarkEnd w:id="89"/>
      <w:r>
        <w:rPr>
          <w:color w:val="000000"/>
          <w:sz w:val="24"/>
        </w:rPr>
        <w:t>3、Credit Control--放款后，企业还款不是一次性的（和我们房贷类似，一批批还的）。有的放款也不是一次性放的。是放几次，就是看企业是否真的有偿还能力，偿还能力好不好。</w:t>
      </w:r>
    </w:p>
    <w:p>
      <w:pPr>
        <w:spacing w:line="322" w:lineRule="auto"/>
        <w:jc w:val="both"/>
      </w:pPr>
      <w:bookmarkStart w:name="rufX-1633159226063" w:id="90"/>
      <w:bookmarkEnd w:id="90"/>
      <w:r>
        <w:rPr>
          <w:color w:val="000000"/>
          <w:sz w:val="24"/>
        </w:rPr>
        <w:t>如果credit control发现企业偿还能力开始有问题了 或者 这个企业没问题，而所在行业开始出现问题：就要重新找approval 修改，可能减少放款。甚至找客户经理要求企业提前还款。更多要求是数字敏感性，不是要求法律背景。风控还有放款、催收、资产保全。</w:t>
      </w:r>
    </w:p>
    <w:p>
      <w:pPr>
        <w:spacing w:line="322" w:lineRule="auto"/>
      </w:pPr>
      <w:bookmarkStart w:name="KRqy-1636023420698" w:id="91"/>
      <w:bookmarkEnd w:id="91"/>
    </w:p>
    <w:p>
      <w:pPr>
        <w:spacing w:line="322" w:lineRule="auto"/>
      </w:pPr>
      <w:bookmarkStart w:name="WVV6-1636023434922" w:id="92"/>
      <w:bookmarkEnd w:id="92"/>
      <w:r>
        <w:rPr>
          <w:color w:val="000000"/>
          <w:sz w:val="24"/>
        </w:rPr>
        <w:t>风险：不确定性</w:t>
      </w:r>
    </w:p>
    <w:p>
      <w:pPr>
        <w:spacing w:line="322" w:lineRule="auto"/>
      </w:pPr>
      <w:bookmarkStart w:name="m3S0-1631519028328" w:id="93"/>
      <w:bookmarkEnd w:id="93"/>
      <w:r>
        <w:rPr>
          <w:color w:val="000000"/>
          <w:sz w:val="24"/>
        </w:rPr>
        <w:t>控制：降低不确定性，减少损失</w:t>
      </w:r>
    </w:p>
    <w:tbl>
      <w:tblPr>
        <w:tblW w:w="0" w:type="auto"/>
        <w:tblBorders>
          <w:top w:val="single"/>
          <w:left w:val="single"/>
          <w:bottom w:val="single"/>
          <w:right w:val="single"/>
          <w:insideH w:val="single"/>
          <w:insideV w:val="single"/>
        </w:tblBorders>
      </w:tblPr>
      <w:tblGrid>
        <w:gridCol w:w="2260"/>
        <w:gridCol w:w="5180"/>
        <w:gridCol w:w="3880"/>
      </w:tblGrid>
      <w:tr>
        <w:trPr>
          <w:trHeight w:val="880"/>
        </w:trPr>
        <w:tc>
          <w:tcPr>
            <w:tcW w:w="2260"/>
            <w:vAlign w:val="center"/>
          </w:tcPr>
          <w:p>
            <w:pPr/>
            <w:bookmarkStart w:name="v1z3-1636023421145" w:id="94"/>
            <w:bookmarkEnd w:id="94"/>
            <w:r>
              <w:rPr>
                <w:b w:val="true"/>
                <w:color w:val="000000"/>
                <w:sz w:val="24"/>
              </w:rPr>
              <w:t>场景\业务类型</w:t>
            </w:r>
          </w:p>
        </w:tc>
        <w:tc>
          <w:tcPr>
            <w:tcW w:w="5180"/>
            <w:vAlign w:val="center"/>
          </w:tcPr>
          <w:p>
            <w:pPr/>
            <w:bookmarkStart w:name="3wyg-1636023421145" w:id="95"/>
            <w:bookmarkEnd w:id="95"/>
            <w:r>
              <w:rPr>
                <w:b w:val="true"/>
                <w:color w:val="000000"/>
                <w:sz w:val="24"/>
              </w:rPr>
              <w:t>信用卡</w:t>
            </w:r>
          </w:p>
        </w:tc>
        <w:tc>
          <w:tcPr>
            <w:tcW w:w="3880"/>
            <w:vAlign w:val="center"/>
          </w:tcPr>
          <w:p>
            <w:pPr/>
            <w:bookmarkStart w:name="2Qyc-1636023421145" w:id="96"/>
            <w:bookmarkEnd w:id="96"/>
            <w:r>
              <w:rPr>
                <w:b w:val="true"/>
                <w:color w:val="000000"/>
                <w:sz w:val="24"/>
              </w:rPr>
              <w:t>互联网信贷</w:t>
            </w:r>
          </w:p>
        </w:tc>
      </w:tr>
      <w:tr>
        <w:trPr>
          <w:trHeight w:val="880"/>
        </w:trPr>
        <w:tc>
          <w:tcPr>
            <w:tcW w:w="2260"/>
            <w:vAlign w:val="center"/>
          </w:tcPr>
          <w:p>
            <w:pPr/>
            <w:bookmarkStart w:name="ZLGG-1636023421146" w:id="97"/>
            <w:bookmarkEnd w:id="97"/>
            <w:r>
              <w:rPr>
                <w:color w:val="000000"/>
                <w:sz w:val="24"/>
              </w:rPr>
              <w:t>申请</w:t>
            </w:r>
          </w:p>
        </w:tc>
        <w:tc>
          <w:tcPr>
            <w:tcW w:w="5180"/>
            <w:vAlign w:val="center"/>
          </w:tcPr>
          <w:p>
            <w:pPr/>
            <w:bookmarkStart w:name="bMZH-1636023421146" w:id="98"/>
            <w:bookmarkEnd w:id="98"/>
            <w:r>
              <w:rPr>
                <w:color w:val="000000"/>
                <w:sz w:val="24"/>
              </w:rPr>
              <w:t>1、在线提交个人资料</w:t>
            </w:r>
          </w:p>
          <w:p>
            <w:pPr/>
            <w:bookmarkStart w:name="mg7a-1636023421146" w:id="99"/>
            <w:bookmarkEnd w:id="99"/>
            <w:r>
              <w:rPr>
                <w:color w:val="000000"/>
                <w:sz w:val="24"/>
              </w:rPr>
              <w:t>2、提交实体资料（上门收取、网点提交）</w:t>
            </w:r>
          </w:p>
        </w:tc>
        <w:tc>
          <w:tcPr>
            <w:tcW w:w="3880"/>
            <w:vAlign w:val="center"/>
          </w:tcPr>
          <w:p>
            <w:pPr/>
            <w:bookmarkStart w:name="54L8-1636023421146" w:id="100"/>
            <w:bookmarkEnd w:id="100"/>
            <w:r>
              <w:rPr>
                <w:color w:val="000000"/>
                <w:sz w:val="24"/>
              </w:rPr>
              <w:t>APP提交个人信息</w:t>
            </w:r>
          </w:p>
        </w:tc>
      </w:tr>
      <w:tr>
        <w:trPr>
          <w:trHeight w:val="880"/>
        </w:trPr>
        <w:tc>
          <w:tcPr>
            <w:tcW w:w="2260"/>
            <w:vAlign w:val="center"/>
          </w:tcPr>
          <w:p>
            <w:pPr/>
            <w:bookmarkStart w:name="X4Wd-1636023421146" w:id="101"/>
            <w:bookmarkEnd w:id="101"/>
            <w:r>
              <w:rPr>
                <w:color w:val="000000"/>
                <w:sz w:val="24"/>
              </w:rPr>
              <w:t>贷前</w:t>
            </w:r>
          </w:p>
        </w:tc>
        <w:tc>
          <w:tcPr>
            <w:tcW w:w="5180"/>
            <w:vAlign w:val="center"/>
          </w:tcPr>
          <w:p>
            <w:pPr/>
            <w:bookmarkStart w:name="BeIo-1636023421146" w:id="102"/>
            <w:bookmarkEnd w:id="102"/>
            <w:r>
              <w:rPr>
                <w:color w:val="000000"/>
                <w:sz w:val="24"/>
              </w:rPr>
              <w:t>后台审核， 审核通过后下卡</w:t>
            </w:r>
          </w:p>
        </w:tc>
        <w:tc>
          <w:tcPr>
            <w:tcW w:w="3880"/>
            <w:vAlign w:val="center"/>
          </w:tcPr>
          <w:p>
            <w:pPr/>
            <w:bookmarkStart w:name="Q953-1636023421146" w:id="103"/>
            <w:bookmarkEnd w:id="103"/>
            <w:r>
              <w:rPr>
                <w:color w:val="000000"/>
                <w:sz w:val="24"/>
              </w:rPr>
              <w:t>后台审核，审核通过后可借款</w:t>
            </w:r>
          </w:p>
        </w:tc>
      </w:tr>
      <w:tr>
        <w:trPr>
          <w:trHeight w:val="880"/>
        </w:trPr>
        <w:tc>
          <w:tcPr>
            <w:tcW w:w="2260"/>
            <w:vAlign w:val="center"/>
          </w:tcPr>
          <w:p>
            <w:pPr/>
            <w:bookmarkStart w:name="OyVC-1636023421146" w:id="104"/>
            <w:bookmarkEnd w:id="104"/>
            <w:r>
              <w:rPr>
                <w:color w:val="000000"/>
                <w:sz w:val="24"/>
              </w:rPr>
              <w:t>贷中</w:t>
            </w:r>
          </w:p>
        </w:tc>
        <w:tc>
          <w:tcPr>
            <w:tcW w:w="5180"/>
            <w:vAlign w:val="center"/>
          </w:tcPr>
          <w:p>
            <w:pPr/>
            <w:bookmarkStart w:name="Tl5k-1636023421146" w:id="105"/>
            <w:bookmarkEnd w:id="105"/>
            <w:r>
              <w:rPr>
                <w:color w:val="000000"/>
                <w:sz w:val="24"/>
              </w:rPr>
              <w:t>实时风控、调额、分期</w:t>
            </w:r>
          </w:p>
        </w:tc>
        <w:tc>
          <w:tcPr>
            <w:tcW w:w="3880"/>
            <w:vAlign w:val="center"/>
          </w:tcPr>
          <w:p>
            <w:pPr/>
            <w:bookmarkStart w:name="WH9Q-1636023421146" w:id="106"/>
            <w:bookmarkEnd w:id="106"/>
            <w:r>
              <w:rPr>
                <w:color w:val="000000"/>
                <w:sz w:val="24"/>
              </w:rPr>
              <w:t>实时风控、调额、分期</w:t>
            </w:r>
          </w:p>
        </w:tc>
      </w:tr>
      <w:tr>
        <w:trPr>
          <w:trHeight w:val="880"/>
        </w:trPr>
        <w:tc>
          <w:tcPr>
            <w:tcW w:w="2260"/>
            <w:vAlign w:val="center"/>
          </w:tcPr>
          <w:p>
            <w:pPr/>
            <w:bookmarkStart w:name="bXXH-1636023421146" w:id="107"/>
            <w:bookmarkEnd w:id="107"/>
            <w:r>
              <w:rPr>
                <w:color w:val="000000"/>
                <w:sz w:val="24"/>
              </w:rPr>
              <w:t>贷后</w:t>
            </w:r>
          </w:p>
        </w:tc>
        <w:tc>
          <w:tcPr>
            <w:tcW w:w="5180"/>
            <w:vAlign w:val="center"/>
          </w:tcPr>
          <w:p>
            <w:pPr/>
            <w:bookmarkStart w:name="mwDb-1636023421147" w:id="108"/>
            <w:bookmarkEnd w:id="108"/>
            <w:r>
              <w:rPr>
                <w:color w:val="000000"/>
                <w:sz w:val="24"/>
              </w:rPr>
              <w:t>逾期催收</w:t>
            </w:r>
          </w:p>
        </w:tc>
        <w:tc>
          <w:tcPr>
            <w:tcW w:w="3880"/>
            <w:vAlign w:val="center"/>
          </w:tcPr>
          <w:p>
            <w:pPr/>
            <w:bookmarkStart w:name="LpyO-1636023421147" w:id="109"/>
            <w:bookmarkEnd w:id="109"/>
            <w:r>
              <w:rPr>
                <w:color w:val="000000"/>
                <w:sz w:val="24"/>
              </w:rPr>
              <w:t>逾期催收</w:t>
            </w:r>
          </w:p>
        </w:tc>
      </w:tr>
    </w:tbl>
    <w:p>
      <w:pPr>
        <w:spacing w:line="313" w:lineRule="auto"/>
        <w:jc w:val="both"/>
      </w:pPr>
      <w:bookmarkStart w:name="0GZN-1636023421150" w:id="110"/>
      <w:bookmarkEnd w:id="110"/>
    </w:p>
  </w:body>
</w:document>
</file>

<file path=word/settings.xml><?xml version="1.0" encoding="utf-8"?>
<w:settings xmlns:w="http://schemas.openxmlformats.org/wordprocessingml/2006/main"/>
</file>

<file path=word/styles.xml><?xml version="1.0" encoding="utf-8"?>
<w:styles xmlns:w="http://schemas.openxmlformats.org/wordprocessingml/2006/main">
  <w:styles xmlns:mc="http://schemas.openxmlformats.org/markup-compatibility/2006" xmlns:r="http://schemas.openxmlformats.org/officeDocument/2006/relationships" xmlns:w14="http://schemas.microsoft.com/office/word/2010/wordml" xmlns:w15="http://schemas.microsoft.com/office/word/2012/wordml" mc:Ignorable="w14 w15">
    <w:docDefaults>
      <w:rPrDefault>
        <w:rPr>
          <w:rFonts/>
          <w:sz w:val="21"/>
          <w:szCs w:val="22"/>
          <w:rFonts w:ascii="微软雅黑" w:asciiTheme="微软雅黑" w:eastAsia="微软雅黑" w:eastAsiaTheme="微软雅黑" w:hAnsi="微软雅黑" w:hAnsiTheme="微软雅黑" w:cstheme="微软雅黑"/>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left"/>
      </w:pPr>
    </w:style>
    <w:style w:type="paragraph" w:styleId="1">
      <w:name w:val="heading 1"/>
      <w:basedOn w:val="a"/>
      <w:next w:val="a"/>
      <w:link w:val="1Char"/>
      <w:uiPriority w:val="9"/>
      <w:qFormat/>
      <w:rsid w:val="004535D4"/>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4535D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4535D4"/>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4535D4"/>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Char"/>
      <w:uiPriority w:val="9"/>
      <w:unhideWhenUsed/>
      <w:qFormat/>
      <w:rsid w:val="004535D4"/>
      <w:pPr>
        <w:keepNext/>
        <w:keepLines/>
        <w:spacing w:before="280" w:after="290" w:line="376" w:lineRule="auto"/>
        <w:outlineLvl w:val="4"/>
      </w:pPr>
      <w:rPr>
        <w:b/>
        <w:bCs/>
        <w:sz w:val="28"/>
        <w:szCs w:val="28"/>
      </w:rPr>
    </w:style>
    <w:style w:type="paragraph" w:styleId="6">
      <w:name w:val="heading 6"/>
      <w:basedOn w:val="a"/>
      <w:next w:val="a"/>
      <w:link w:val="6Char"/>
      <w:uiPriority w:val="9"/>
      <w:unhideWhenUsed/>
      <w:qFormat/>
      <w:rsid w:val="004535D4"/>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Char"/>
      <w:uiPriority w:val="9"/>
      <w:unhideWhenUsed/>
      <w:qFormat/>
      <w:rsid w:val="004535D4"/>
      <w:pPr>
        <w:keepNext/>
        <w:keepLines/>
        <w:spacing w:before="240" w:after="64" w:line="320" w:lineRule="auto"/>
        <w:outlineLvl w:val="6"/>
      </w:pPr>
      <w:rPr>
        <w:b/>
        <w:bCs/>
        <w:sz w:val="24"/>
        <w:szCs w:val="24"/>
      </w:rPr>
    </w:style>
    <w:style w:type="paragraph" w:styleId="8">
      <w:name w:val="heading 8"/>
      <w:basedOn w:val="a"/>
      <w:next w:val="a"/>
      <w:link w:val="8Char"/>
      <w:uiPriority w:val="9"/>
      <w:unhideWhenUsed/>
      <w:qFormat/>
      <w:rsid w:val="004535D4"/>
      <w:pPr>
        <w:keepNext/>
        <w:keepLines/>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Char"/>
      <w:uiPriority w:val="9"/>
      <w:unhideWhenUsed/>
      <w:qFormat/>
      <w:rsid w:val="004535D4"/>
      <w:pPr>
        <w:keepNext/>
        <w:keepLines/>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4535D4"/>
      <w:rPr>
        <w:b/>
        <w:bCs/>
        <w:kern w:val="44"/>
        <w:sz w:val="44"/>
        <w:szCs w:val="44"/>
      </w:rPr>
    </w:style>
    <w:style w:type="character" w:customStyle="1" w:styleId="2Char">
      <w:name w:val="标题 2 Char"/>
      <w:basedOn w:val="a0"/>
      <w:link w:val="2"/>
      <w:uiPriority w:val="9"/>
      <w:rsid w:val="004535D4"/>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4535D4"/>
      <w:rPr>
        <w:b/>
        <w:bCs/>
        <w:sz w:val="32"/>
        <w:szCs w:val="32"/>
      </w:rPr>
    </w:style>
    <w:style w:type="character" w:customStyle="1" w:styleId="4Char">
      <w:name w:val="标题 4 Char"/>
      <w:basedOn w:val="a0"/>
      <w:link w:val="4"/>
      <w:uiPriority w:val="9"/>
      <w:rsid w:val="004535D4"/>
      <w:rPr>
        <w:rFonts w:asciiTheme="majorHAnsi" w:eastAsiaTheme="majorEastAsia" w:hAnsiTheme="majorHAnsi" w:cstheme="majorBidi"/>
        <w:b/>
        <w:bCs/>
        <w:sz w:val="28"/>
        <w:szCs w:val="28"/>
      </w:rPr>
    </w:style>
    <w:style w:type="character" w:customStyle="1" w:styleId="5Char">
      <w:name w:val="标题 5 Char"/>
      <w:basedOn w:val="a0"/>
      <w:link w:val="5"/>
      <w:uiPriority w:val="9"/>
      <w:rsid w:val="004535D4"/>
      <w:rPr>
        <w:b/>
        <w:bCs/>
        <w:sz w:val="28"/>
        <w:szCs w:val="28"/>
      </w:rPr>
    </w:style>
    <w:style w:type="character" w:customStyle="1" w:styleId="6Char">
      <w:name w:val="标题 6 Char"/>
      <w:basedOn w:val="a0"/>
      <w:link w:val="6"/>
      <w:uiPriority w:val="9"/>
      <w:rsid w:val="004535D4"/>
      <w:rPr>
        <w:rFonts w:asciiTheme="majorHAnsi" w:eastAsiaTheme="majorEastAsia" w:hAnsiTheme="majorHAnsi" w:cstheme="majorBidi"/>
        <w:b/>
        <w:bCs/>
        <w:sz w:val="24"/>
        <w:szCs w:val="24"/>
      </w:rPr>
    </w:style>
    <w:style w:type="character" w:customStyle="1" w:styleId="7Char">
      <w:name w:val="标题 7 Char"/>
      <w:basedOn w:val="a0"/>
      <w:link w:val="7"/>
      <w:uiPriority w:val="9"/>
      <w:rsid w:val="004535D4"/>
      <w:rPr>
        <w:b/>
        <w:bCs/>
        <w:sz w:val="24"/>
        <w:szCs w:val="24"/>
      </w:rPr>
    </w:style>
    <w:style w:type="character" w:customStyle="1" w:styleId="8Char">
      <w:name w:val="标题 8 Char"/>
      <w:basedOn w:val="a0"/>
      <w:link w:val="8"/>
      <w:uiPriority w:val="9"/>
      <w:rsid w:val="004535D4"/>
      <w:rPr>
        <w:rFonts w:asciiTheme="majorHAnsi" w:eastAsiaTheme="majorEastAsia" w:hAnsiTheme="majorHAnsi" w:cstheme="majorBidi"/>
        <w:sz w:val="24"/>
        <w:szCs w:val="24"/>
      </w:rPr>
    </w:style>
    <w:style w:type="character" w:customStyle="1" w:styleId="9Char">
      <w:name w:val="标题 9 Char"/>
      <w:basedOn w:val="a0"/>
      <w:link w:val="9"/>
      <w:uiPriority w:val="9"/>
      <w:rsid w:val="004535D4"/>
      <w:rPr>
        <w:rFonts w:asciiTheme="majorHAnsi" w:eastAsiaTheme="majorEastAsia" w:hAnsiTheme="majorHAnsi" w:cstheme="majorBidi"/>
        <w:szCs w:val="21"/>
      </w:rPr>
    </w:style>
    <w:style w:type="paragraph" w:styleId="a3">
      <w:name w:val="Title"/>
      <w:basedOn w:val="a"/>
      <w:next w:val="a"/>
      <w:link w:val="Char"/>
      <w:uiPriority w:val="10"/>
      <w:qFormat/>
      <w:rsid w:val="00E73C16"/>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0"/>
      <w:link w:val="a3"/>
      <w:uiPriority w:val="10"/>
      <w:rsid w:val="00E73C16"/>
      <w:rPr>
        <w:rFonts w:asciiTheme="majorHAnsi" w:eastAsia="宋体" w:hAnsiTheme="majorHAnsi" w:cstheme="majorBidi"/>
        <w:b/>
        <w:bCs/>
        <w:sz w:val="32"/>
        <w:szCs w:val="32"/>
      </w:rPr>
    </w:style>
    <w:style w:type="paragraph" w:styleId="a4">
      <w:name w:val="Subtitle"/>
      <w:basedOn w:val="a"/>
      <w:next w:val="a"/>
      <w:link w:val="Char0"/>
      <w:uiPriority w:val="11"/>
      <w:qFormat/>
      <w:rsid w:val="00E73C16"/>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Char0">
      <w:name w:val="副标题 Char"/>
      <w:basedOn w:val="a0"/>
      <w:link w:val="a4"/>
      <w:uiPriority w:val="11"/>
      <w:rsid w:val="00E73C16"/>
      <w:rPr>
        <w:rFonts w:asciiTheme="majorHAnsi" w:eastAsia="宋体" w:hAnsiTheme="majorHAnsi" w:cstheme="majorBidi"/>
        <w:b/>
        <w:bCs/>
        <w:kern w:val="28"/>
        <w:sz w:val="32"/>
        <w:szCs w:val="32"/>
      </w:rPr>
    </w:style>
  </w:styles>
</w:styles>
</file>

<file path=word/_rels/document.xml.rels><?xml version="1.0" encoding="UTF-8" standalone="no"?><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https://baike.baidu.com/item/%E5%95%86%E4%B8%9A%E4%BF%A1%E8%AA%89/8134259" TargetMode="External" Type="http://schemas.openxmlformats.org/officeDocument/2006/relationships/hyperlink"/><Relationship Id="rId4" Target="https://baike.baidu.com/item/%E7%BB%8F%E6%B5%8E%E4%B8%BB%E4%BD%93/11059502" TargetMode="External" Type="http://schemas.openxmlformats.org/officeDocument/2006/relationships/hyperlink"/><Relationship Id="rId5" Target="https://baike.baidu.com/item/%E5%95%86%E4%B8%9A%E9%93%B6%E8%A1%8C/365199" TargetMode="External" Type="http://schemas.openxmlformats.org/officeDocument/2006/relationships/hyperlink"/><Relationship Id="rId6" Target="https://baike.baidu.com/item/%E5%B7%B4%E5%A1%9E%E5%B0%94%E9%93%B6%E8%A1%8C%E7%9B%91%E7%AE%A1%E5%A7%94%E5%91%98%E4%BC%9A/4765814" TargetMode="External" Type="http://schemas.openxmlformats.org/officeDocument/2006/relationships/hyperlink"/><Relationship Id="rId7" Target="https://baike.baidu.com/item/%E5%90%88%E8%A7%84%E9%A3%8E%E9%99%A9/3014568" TargetMode="External" Type="http://schemas.openxmlformats.org/officeDocument/2006/relationships/hyperlink"/><Relationship Id="rId8" Target="https://baike.baidu.com/item/%E5%95%86%E4%B8%9A%E9%93%B6%E8%A1%8C%E5%90%88%E8%A7%84%E9%A3%8E%E9%99%A9%E7%AE%A1%E7%90%86%E6%8C%87%E5%BC%95/1631763" TargetMode="External" Type="http://schemas.openxmlformats.org/officeDocument/2006/relationships/hyperlink"/><Relationship Id="rId9" Target="https://baike.baidu.com/item/%E5%8F%8D%E6%B4%97%E9%92%B1/492739"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2024-03-02T07:51:39Z</dcterms:created>
  <dc:creator>Apache POI</dc:creator>
</cp:coreProperties>
</file>