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1"/>
        <w:spacing w:line="420" w:lineRule="auto" w:before="0" w:after="0"/>
        <w:ind w:firstLine="0"/>
      </w:pPr>
      <w:bookmarkStart w:name="3060-1621846615933" w:id="1"/>
      <w:bookmarkEnd w:id="1"/>
      <w:r>
        <w:rPr>
          <w:rFonts w:ascii="微软雅黑" w:hAnsi="微软雅黑" w:cs="微软雅黑" w:eastAsia="微软雅黑"/>
          <w:b w:val="true"/>
          <w:sz w:val="42"/>
        </w:rPr>
        <w:t>一、指数</w:t>
      </w:r>
    </w:p>
    <w:p>
      <w:pPr>
        <w:pStyle w:val="2"/>
        <w:spacing w:line="240" w:lineRule="auto" w:before="0" w:after="0"/>
      </w:pPr>
      <w:bookmarkStart w:name="letw-1659169030731" w:id="2"/>
      <w:bookmarkEnd w:id="2"/>
      <w:r>
        <w:rPr>
          <w:rFonts w:ascii="微软雅黑" w:hAnsi="微软雅黑" w:cs="微软雅黑" w:eastAsia="微软雅黑"/>
          <w:b w:val="true"/>
          <w:sz w:val="30"/>
        </w:rPr>
        <w:t>指数简介</w:t>
      </w:r>
    </w:p>
    <w:p>
      <w:pPr>
        <w:spacing w:line="320" w:lineRule="auto"/>
        <w:ind w:firstLine="0"/>
        <w:jc w:val="both"/>
      </w:pPr>
      <w:bookmarkStart w:name="SQdd-1636251126395" w:id="3"/>
      <w:bookmarkEnd w:id="3"/>
      <w:r>
        <w:rPr>
          <w:color w:val="121212"/>
          <w:sz w:val="24"/>
          <w:highlight w:val="white"/>
        </w:rPr>
        <w:t>指数是交易所或者指数公司开发的，上海证券交易所（简称上交所）开发的上证系列指数，深圳证券交易所（简称深交所）开发的深证系列指数，以及中证指数有限公司开发的中证系列指数。</w:t>
      </w:r>
    </w:p>
    <w:p>
      <w:pPr>
        <w:spacing w:line="320" w:lineRule="auto"/>
        <w:ind w:firstLine="0"/>
        <w:jc w:val="both"/>
      </w:pPr>
      <w:bookmarkStart w:name="7797-1612950845539" w:id="4"/>
      <w:bookmarkEnd w:id="4"/>
      <w:r>
        <w:rPr>
          <w:color w:val="121212"/>
          <w:sz w:val="24"/>
          <w:highlight w:val="white"/>
        </w:rPr>
        <w:t>美国主要有三大指数：纳斯达克指数、标普500指数、道琼斯指数。纳斯达克指数是交易所指数，而标普500指数和道琼斯指数则是指数公司开发的。</w:t>
      </w:r>
    </w:p>
    <w:p>
      <w:pPr>
        <w:spacing w:line="320" w:lineRule="auto"/>
        <w:ind w:firstLine="0"/>
        <w:jc w:val="both"/>
      </w:pPr>
      <w:bookmarkStart w:name="fhAw-1662856448227" w:id="5"/>
      <w:bookmarkEnd w:id="5"/>
      <w:r>
        <w:rPr>
          <w:color w:val="121212"/>
          <w:sz w:val="24"/>
          <w:highlight w:val="white"/>
        </w:rPr>
        <w:t>中国香港主要是恒生公司开发的指数，例如恒生指数和H股指数。</w:t>
      </w:r>
    </w:p>
    <w:p>
      <w:pPr>
        <w:spacing w:line="320" w:lineRule="auto"/>
        <w:ind w:firstLine="0"/>
        <w:jc w:val="both"/>
      </w:pPr>
      <w:bookmarkStart w:name="8748-1612950850945" w:id="6"/>
      <w:bookmarkEnd w:id="6"/>
    </w:p>
    <w:p>
      <w:pPr>
        <w:pStyle w:val="2"/>
        <w:spacing w:line="320" w:lineRule="auto" w:before="0" w:after="0"/>
        <w:ind w:firstLine="0"/>
        <w:jc w:val="both"/>
      </w:pPr>
      <w:bookmarkStart w:name="t8Pp-1659169058066" w:id="7"/>
      <w:bookmarkEnd w:id="7"/>
      <w:r>
        <w:rPr>
          <w:rFonts w:ascii="微软雅黑" w:hAnsi="微软雅黑" w:cs="微软雅黑" w:eastAsia="微软雅黑"/>
          <w:b w:val="true"/>
          <w:color w:val="000000"/>
          <w:sz w:val="30"/>
          <w:highlight w:val="white"/>
        </w:rPr>
        <w:t>上证指数</w:t>
      </w:r>
    </w:p>
    <w:p>
      <w:pPr>
        <w:spacing w:line="320" w:lineRule="auto"/>
        <w:ind w:firstLine="0"/>
        <w:jc w:val="both"/>
      </w:pPr>
      <w:bookmarkStart w:name="1739-1612950851098" w:id="8"/>
      <w:bookmarkEnd w:id="8"/>
      <w:r>
        <w:rPr>
          <w:color w:val="333333"/>
          <w:sz w:val="24"/>
          <w:highlight w:val="white"/>
        </w:rPr>
        <w:t>上证指数的全称是上海证券交易所股票价格综合指数，是由上海证券交易所编制的股票指数，1990年12月19日正式开始发布。该股票指数的样本为所有在上海证券交易所挂牌上市的股票，其中新上市的股票在挂牌的第二天纳入股票指数的计算范围。</w:t>
      </w:r>
    </w:p>
    <w:p>
      <w:pPr>
        <w:spacing w:line="320" w:lineRule="auto"/>
        <w:ind w:firstLine="0"/>
        <w:jc w:val="both"/>
      </w:pPr>
      <w:bookmarkStart w:name="z8bu-1639393387327" w:id="9"/>
      <w:bookmarkEnd w:id="9"/>
    </w:p>
    <w:p>
      <w:pPr>
        <w:pStyle w:val="2"/>
        <w:spacing w:line="313" w:lineRule="auto" w:before="0" w:after="0"/>
        <w:ind w:firstLine="0"/>
        <w:jc w:val="both"/>
      </w:pPr>
      <w:bookmarkStart w:name="y5nZ-1659169075604" w:id="10"/>
      <w:bookmarkEnd w:id="10"/>
      <w:r>
        <w:rPr>
          <w:rFonts w:ascii="微软雅黑" w:hAnsi="微软雅黑" w:cs="微软雅黑" w:eastAsia="微软雅黑"/>
          <w:b w:val="true"/>
          <w:color w:val="000000"/>
          <w:sz w:val="30"/>
        </w:rPr>
        <w:t>恒生指数</w:t>
      </w:r>
    </w:p>
    <w:p>
      <w:pPr>
        <w:spacing w:line="313" w:lineRule="auto"/>
        <w:ind w:firstLine="0"/>
        <w:jc w:val="both"/>
      </w:pPr>
      <w:bookmarkStart w:name="tMGw-1639393387783" w:id="11"/>
      <w:bookmarkEnd w:id="11"/>
      <w:r>
        <w:rPr>
          <w:color w:val="000000"/>
          <w:sz w:val="24"/>
        </w:rPr>
        <w:t>恒生</w:t>
      </w:r>
      <w:hyperlink r:id="rId3">
        <w:r>
          <w:rPr>
            <w:color w:val="000000"/>
            <w:sz w:val="24"/>
          </w:rPr>
          <w:t>指数</w:t>
        </w:r>
      </w:hyperlink>
      <w:r>
        <w:rPr>
          <w:color w:val="000000"/>
          <w:sz w:val="24"/>
        </w:rPr>
        <w:t>，</w:t>
      </w:r>
      <w:hyperlink r:id="rId4">
        <w:r>
          <w:rPr>
            <w:color w:val="000000"/>
            <w:sz w:val="24"/>
          </w:rPr>
          <w:t>香港股市</w:t>
        </w:r>
      </w:hyperlink>
      <w:r>
        <w:rPr>
          <w:color w:val="000000"/>
          <w:sz w:val="24"/>
        </w:rPr>
        <w:t>价格的重要指标，指数由若干只成分股（即</w:t>
      </w:r>
      <w:hyperlink r:id="rId5">
        <w:r>
          <w:rPr>
            <w:color w:val="000000"/>
            <w:sz w:val="24"/>
          </w:rPr>
          <w:t>蓝筹股</w:t>
        </w:r>
      </w:hyperlink>
      <w:r>
        <w:rPr>
          <w:color w:val="000000"/>
          <w:sz w:val="24"/>
        </w:rPr>
        <w:t>）</w:t>
      </w:r>
      <w:hyperlink r:id="rId6">
        <w:r>
          <w:rPr>
            <w:color w:val="000000"/>
            <w:sz w:val="24"/>
          </w:rPr>
          <w:t>市值</w:t>
        </w:r>
      </w:hyperlink>
      <w:r>
        <w:rPr>
          <w:color w:val="000000"/>
          <w:sz w:val="24"/>
        </w:rPr>
        <w:t>计算出来的，代表了</w:t>
      </w:r>
      <w:hyperlink r:id="rId7">
        <w:r>
          <w:rPr>
            <w:color w:val="000000"/>
            <w:sz w:val="24"/>
          </w:rPr>
          <w:t>香港交易所</w:t>
        </w:r>
      </w:hyperlink>
      <w:r>
        <w:rPr>
          <w:color w:val="000000"/>
          <w:sz w:val="24"/>
        </w:rPr>
        <w:t>所有</w:t>
      </w:r>
      <w:hyperlink r:id="rId8">
        <w:r>
          <w:rPr>
            <w:color w:val="000000"/>
            <w:sz w:val="24"/>
          </w:rPr>
          <w:t>上市公司</w:t>
        </w:r>
      </w:hyperlink>
      <w:r>
        <w:rPr>
          <w:color w:val="000000"/>
          <w:sz w:val="24"/>
        </w:rPr>
        <w:t>的12个月平均市值涵盖率的63%，恒生指数由</w:t>
      </w:r>
      <w:hyperlink r:id="rId9">
        <w:r>
          <w:rPr>
            <w:color w:val="000000"/>
            <w:sz w:val="24"/>
          </w:rPr>
          <w:t>恒生银行</w:t>
        </w:r>
      </w:hyperlink>
      <w:r>
        <w:rPr>
          <w:color w:val="000000"/>
          <w:sz w:val="24"/>
        </w:rPr>
        <w:t>下属恒生指数有限公司负责计算及按季检讨，公布成分股调整。</w:t>
      </w:r>
    </w:p>
    <w:p>
      <w:pPr>
        <w:spacing w:line="313" w:lineRule="auto"/>
        <w:ind w:firstLine="0"/>
        <w:jc w:val="both"/>
      </w:pPr>
      <w:bookmarkStart w:name="046N-1634950218104" w:id="12"/>
      <w:bookmarkEnd w:id="12"/>
      <w:r>
        <w:rPr>
          <w:color w:val="000000"/>
          <w:sz w:val="24"/>
        </w:rPr>
        <w:t>恒生指数，由</w:t>
      </w:r>
      <w:hyperlink r:id="rId10">
        <w:r>
          <w:rPr>
            <w:color w:val="000000"/>
            <w:sz w:val="24"/>
          </w:rPr>
          <w:t>香港恒生银行</w:t>
        </w:r>
      </w:hyperlink>
      <w:r>
        <w:rPr>
          <w:color w:val="000000"/>
          <w:sz w:val="24"/>
        </w:rPr>
        <w:t>全资附属的恒生指数服务有限公司编制，是以香港</w:t>
      </w:r>
      <w:hyperlink r:id="rId11">
        <w:r>
          <w:rPr>
            <w:color w:val="000000"/>
            <w:sz w:val="24"/>
          </w:rPr>
          <w:t>股票市场</w:t>
        </w:r>
      </w:hyperlink>
      <w:r>
        <w:rPr>
          <w:color w:val="000000"/>
          <w:sz w:val="24"/>
        </w:rPr>
        <w:t>中的33家，有代表性的上市</w:t>
      </w:r>
      <w:hyperlink r:id="rId12">
        <w:r>
          <w:rPr>
            <w:color w:val="000000"/>
            <w:sz w:val="24"/>
          </w:rPr>
          <w:t>股票</w:t>
        </w:r>
      </w:hyperlink>
      <w:r>
        <w:rPr>
          <w:color w:val="000000"/>
          <w:sz w:val="24"/>
        </w:rPr>
        <w:t>为成分股样本，以其发行量为权数的加权平均</w:t>
      </w:r>
      <w:hyperlink r:id="rId13">
        <w:r>
          <w:rPr>
            <w:color w:val="000000"/>
            <w:sz w:val="24"/>
          </w:rPr>
          <w:t>股价指数</w:t>
        </w:r>
      </w:hyperlink>
      <w:r>
        <w:rPr>
          <w:color w:val="000000"/>
          <w:sz w:val="24"/>
        </w:rPr>
        <w:t>，是反映香港股市价格幅动趋势最有影响的一种股价指数。该指数于1969年11月24日首次公开发布，</w:t>
      </w:r>
      <w:hyperlink r:id="rId14">
        <w:r>
          <w:rPr>
            <w:color w:val="000000"/>
            <w:sz w:val="24"/>
          </w:rPr>
          <w:t>基期</w:t>
        </w:r>
      </w:hyperlink>
      <w:r>
        <w:rPr>
          <w:color w:val="000000"/>
          <w:sz w:val="24"/>
        </w:rPr>
        <w:t>为1964年7月31日．</w:t>
      </w:r>
      <w:hyperlink r:id="rId15">
        <w:r>
          <w:rPr>
            <w:color w:val="000000"/>
            <w:sz w:val="24"/>
          </w:rPr>
          <w:t>基期指数</w:t>
        </w:r>
      </w:hyperlink>
      <w:r>
        <w:rPr>
          <w:color w:val="000000"/>
          <w:sz w:val="24"/>
        </w:rPr>
        <w:t>定为100。</w:t>
      </w:r>
    </w:p>
    <w:p>
      <w:pPr>
        <w:spacing w:line="320" w:lineRule="auto"/>
        <w:ind w:firstLine="0"/>
        <w:jc w:val="both"/>
      </w:pPr>
      <w:bookmarkStart w:name="7812-1621750737884" w:id="13"/>
      <w:bookmarkEnd w:id="13"/>
    </w:p>
    <w:p>
      <w:pPr>
        <w:pStyle w:val="2"/>
        <w:spacing w:line="322" w:lineRule="auto" w:before="0" w:after="0"/>
      </w:pPr>
      <w:bookmarkStart w:name="6730-1621750738122" w:id="14"/>
      <w:bookmarkEnd w:id="14"/>
      <w:r>
        <w:rPr>
          <w:rFonts w:ascii="微软雅黑" w:hAnsi="微软雅黑" w:cs="微软雅黑" w:eastAsia="微软雅黑"/>
          <w:b w:val="true"/>
          <w:color w:val="000000"/>
          <w:sz w:val="30"/>
        </w:rPr>
        <w:t>沪深 300</w:t>
      </w:r>
    </w:p>
    <w:p>
      <w:pPr>
        <w:spacing w:line="322" w:lineRule="auto"/>
        <w:ind w:firstLine="0"/>
        <w:jc w:val="both"/>
      </w:pPr>
      <w:bookmarkStart w:name="lPpY-1636037464254" w:id="15"/>
      <w:bookmarkEnd w:id="15"/>
      <w:r>
        <w:rPr>
          <w:sz w:val="24"/>
          <w:highlight w:val="white"/>
        </w:rPr>
        <w:t>沪深 300 指数是由 300 只流动性好、体量较大，最能代表中国沪市和深市的 300 只成份股组成的。所以可以说它就是中国股市的晴雨表，而且由于它的成份股是由沪深交易所精选的，往往表现还好于大盘的表现。</w:t>
      </w:r>
    </w:p>
    <w:p>
      <w:pPr>
        <w:spacing w:line="322" w:lineRule="auto"/>
        <w:ind w:firstLine="0"/>
        <w:jc w:val="both"/>
      </w:pPr>
      <w:bookmarkStart w:name="45B0-1659165503147" w:id="16"/>
      <w:bookmarkEnd w:id="16"/>
    </w:p>
    <w:p>
      <w:pPr>
        <w:pStyle w:val="2"/>
        <w:spacing w:line="320" w:lineRule="auto" w:before="0" w:after="0"/>
        <w:jc w:val="both"/>
      </w:pPr>
      <w:bookmarkStart w:name="ccEg-1659163934751" w:id="17"/>
      <w:bookmarkEnd w:id="17"/>
      <w:r>
        <w:rPr>
          <w:rFonts w:ascii="微软雅黑" w:hAnsi="微软雅黑" w:cs="微软雅黑" w:eastAsia="微软雅黑"/>
          <w:b w:val="true"/>
          <w:color w:val="000000"/>
          <w:sz w:val="30"/>
        </w:rPr>
        <w:t>指数基金</w:t>
      </w:r>
    </w:p>
    <w:p>
      <w:pPr>
        <w:spacing w:line="320" w:lineRule="auto"/>
        <w:ind w:firstLine="0"/>
        <w:jc w:val="both"/>
      </w:pPr>
      <w:bookmarkStart w:name="9180-1621750741663" w:id="18"/>
      <w:bookmarkEnd w:id="18"/>
      <w:r>
        <w:rPr>
          <w:sz w:val="24"/>
          <w:highlight w:val="white"/>
        </w:rPr>
        <w:t>官方上讲指数型基金是基金公司根据大盘指数里的公司进行投资的基金就是指数型基金；投资指数型基金就是投资国运；每一个国家都是需要发展和进步的，一个国家的经济在上涨时，股市也在跟着上涨。</w:t>
      </w:r>
    </w:p>
    <w:p>
      <w:pPr>
        <w:spacing w:line="320" w:lineRule="auto"/>
        <w:ind w:firstLine="0"/>
        <w:jc w:val="both"/>
      </w:pPr>
      <w:bookmarkStart w:name="7296-1621750747672" w:id="19"/>
      <w:bookmarkEnd w:id="19"/>
      <w:r>
        <w:rPr>
          <w:sz w:val="24"/>
          <w:highlight w:val="white"/>
        </w:rPr>
        <w:t>讲白话就是指数基金，好比是我们不知道班上同学的身高但是怎么去衡量呢？</w:t>
      </w:r>
    </w:p>
    <w:p>
      <w:pPr>
        <w:spacing w:line="320" w:lineRule="auto"/>
        <w:ind w:firstLine="0"/>
        <w:jc w:val="both"/>
      </w:pPr>
      <w:bookmarkStart w:name="3235-1621750747672" w:id="20"/>
      <w:bookmarkEnd w:id="20"/>
      <w:r>
        <w:rPr>
          <w:sz w:val="24"/>
          <w:highlight w:val="white"/>
        </w:rPr>
        <w:t>我们就抽取了一部分同学测算了大家的身高平均值来代表我们班。指数就是这样的道理，抽取一部分来代表我们总体的收益。由于是平均，所以就相对来说比较缓和。</w:t>
      </w:r>
    </w:p>
    <w:p>
      <w:pPr>
        <w:pStyle w:val="1"/>
        <w:spacing w:line="420" w:lineRule="auto" w:before="0" w:after="0"/>
        <w:ind w:firstLine="0"/>
      </w:pPr>
      <w:bookmarkStart w:name="nqJQ-1659163932540" w:id="21"/>
      <w:bookmarkEnd w:id="21"/>
    </w:p>
    <w:p>
      <w:pPr>
        <w:pStyle w:val="1"/>
        <w:spacing w:line="322" w:lineRule="auto" w:before="0" w:after="0"/>
        <w:jc w:val="both"/>
      </w:pPr>
      <w:bookmarkStart w:name="1013-1621681629932" w:id="22"/>
      <w:bookmarkEnd w:id="22"/>
      <w:r>
        <w:rPr>
          <w:rFonts w:ascii="微软雅黑" w:hAnsi="微软雅黑" w:cs="微软雅黑" w:eastAsia="微软雅黑"/>
          <w:b w:val="true"/>
          <w:color w:val="000000"/>
          <w:sz w:val="42"/>
        </w:rPr>
        <w:t>二、交易</w:t>
      </w:r>
    </w:p>
    <w:p>
      <w:pPr>
        <w:pStyle w:val="2"/>
        <w:spacing w:line="322" w:lineRule="auto" w:before="0" w:after="0"/>
        <w:jc w:val="both"/>
      </w:pPr>
      <w:bookmarkStart w:name="HZyz-1659162199535" w:id="23"/>
      <w:bookmarkEnd w:id="23"/>
      <w:r>
        <w:rPr>
          <w:rFonts w:ascii="微软雅黑" w:hAnsi="微软雅黑" w:cs="微软雅黑" w:eastAsia="微软雅黑"/>
          <w:b w:val="true"/>
          <w:color w:val="000000"/>
          <w:sz w:val="30"/>
        </w:rPr>
        <w:t>杠杆交易</w:t>
      </w:r>
    </w:p>
    <w:p>
      <w:pPr>
        <w:spacing w:line="322" w:lineRule="auto"/>
        <w:ind w:firstLine="0"/>
        <w:jc w:val="both"/>
      </w:pPr>
      <w:bookmarkStart w:name="1051-1621681630092" w:id="24"/>
      <w:bookmarkEnd w:id="24"/>
      <w:r>
        <w:rPr>
          <w:color w:val="000000"/>
          <w:sz w:val="24"/>
          <w:highlight w:val="white"/>
        </w:rPr>
        <w:t>杠杆交易，就是利用小额的资金来进行数倍于原始金额的投资。以期望获取相对投资标的物波动的数倍</w:t>
      </w:r>
      <w:hyperlink r:id="rId16">
        <w:r>
          <w:rPr>
            <w:color w:val="000000"/>
            <w:sz w:val="24"/>
            <w:highlight w:val="white"/>
          </w:rPr>
          <w:t>收益率</w:t>
        </w:r>
      </w:hyperlink>
      <w:r>
        <w:rPr>
          <w:color w:val="000000"/>
          <w:sz w:val="24"/>
          <w:highlight w:val="white"/>
        </w:rPr>
        <w:t>，抑或亏损。由于</w:t>
      </w:r>
      <w:hyperlink r:id="rId17">
        <w:r>
          <w:rPr>
            <w:color w:val="000000"/>
            <w:sz w:val="24"/>
            <w:highlight w:val="white"/>
          </w:rPr>
          <w:t>保证金</w:t>
        </w:r>
      </w:hyperlink>
      <w:r>
        <w:rPr>
          <w:color w:val="000000"/>
          <w:sz w:val="24"/>
          <w:highlight w:val="white"/>
        </w:rPr>
        <w:t>（该笔小额资金）的增减不以</w:t>
      </w:r>
      <w:hyperlink r:id="rId18">
        <w:r>
          <w:rPr>
            <w:color w:val="000000"/>
            <w:sz w:val="24"/>
            <w:highlight w:val="white"/>
          </w:rPr>
          <w:t>标的资产</w:t>
        </w:r>
      </w:hyperlink>
      <w:r>
        <w:rPr>
          <w:color w:val="000000"/>
          <w:sz w:val="24"/>
          <w:highlight w:val="white"/>
        </w:rPr>
        <w:t>的波动比例来运动，风险很高。</w:t>
      </w:r>
    </w:p>
    <w:p>
      <w:pPr>
        <w:spacing w:line="322" w:lineRule="auto"/>
        <w:ind w:firstLine="0"/>
        <w:jc w:val="both"/>
      </w:pPr>
      <w:bookmarkStart w:name="2035-1621681684611" w:id="25"/>
      <w:bookmarkEnd w:id="25"/>
      <w:r>
        <w:rPr>
          <w:color w:val="000000"/>
          <w:sz w:val="24"/>
          <w:highlight w:val="white"/>
        </w:rPr>
        <w:t>传统杠杆（通过融资，借钱实现）。</w:t>
      </w:r>
    </w:p>
    <w:p>
      <w:pPr>
        <w:spacing w:line="322" w:lineRule="auto"/>
        <w:ind w:firstLine="0"/>
        <w:jc w:val="both"/>
      </w:pPr>
      <w:bookmarkStart w:name="ftv6-1639408844111" w:id="26"/>
      <w:bookmarkEnd w:id="26"/>
      <w:r>
        <w:rPr>
          <w:color w:val="000000"/>
          <w:sz w:val="24"/>
          <w:highlight w:val="white"/>
        </w:rPr>
        <w:t>股市里的融资融券（俗称“两融”），指的就是这个。账户里有自己的本金100万，100万已经满仓买入了，还想再买股票，怎么办，这个时候就可以向券商借钱买入（即“融资买股”）。假如多买了100万，那么由于这100万是向券商借的，所以是要支付利息的，国内通常在年化7%以上，按日结算。那么假设一年后，这个股票还是完全不涨不跌，那么此时，向券商支付的利息已经是100*0.07=7万，本金100万就会掉落成93万。</w:t>
      </w:r>
    </w:p>
    <w:p>
      <w:pPr>
        <w:spacing w:line="322" w:lineRule="auto"/>
        <w:jc w:val="both"/>
      </w:pPr>
      <w:bookmarkStart w:name="4358-1621681684981" w:id="27"/>
      <w:bookmarkEnd w:id="27"/>
      <w:r>
        <w:rPr>
          <w:color w:val="000000"/>
          <w:sz w:val="24"/>
          <w:highlight w:val="white"/>
        </w:rPr>
        <w:t>这里我们再来讨论一个杠杆倍数的问题，刚买入时，本金100万，融资100万，实际头寸就是200万，杠杆就是一倍，仓位是200%。而如果此时股票翻了一倍，那么200万就变成400万，归还掉借券商的100万，此时还会净赚200万。当然，实际还得减掉这期间融资的利息，比如借了一年，就还掉7万，实际净赚193万。而在最终卖出兑现盈利之前，本金100万，净赚193万，净资产就是293万，整个仓位就是136.52%，只有0.36倍杠杆。</w:t>
      </w:r>
    </w:p>
    <w:p>
      <w:pPr>
        <w:spacing w:line="322" w:lineRule="auto"/>
        <w:ind w:firstLine="0"/>
        <w:jc w:val="both"/>
      </w:pPr>
      <w:bookmarkStart w:name="0oop-1639408842572" w:id="28"/>
      <w:bookmarkEnd w:id="28"/>
      <w:r>
        <w:rPr>
          <w:color w:val="000000"/>
          <w:sz w:val="24"/>
          <w:highlight w:val="white"/>
        </w:rPr>
        <w:t>而另一种情况，如果同样持有一年，股价跌了25%，那么200万头寸产生的亏损就是50万。归到本金上，此时就只剩50万（减掉利息就是43万），而200万头寸也缩减为150万头寸，仓位就变为150/43=349%。此时如果再下跌1%，那么就是再亏损1.5万，但是对于仅剩的43万本金来说，就是下跌3.49%。此时如果继续下跌，杠杆倍数还会继续升高，本金会以成倍的速度缩减，当150万再向下波动28.67%时，亏损就会达到43万（如果考虑需要支付的融资利息，亏损速度会更快）。至此，本金会一分钱不剩。当然，在现实中，券商会在你跌到0之前，就要求追加保证金（本金），否则就会实施强行平仓。</w:t>
      </w:r>
    </w:p>
    <w:p>
      <w:pPr>
        <w:spacing w:line="322" w:lineRule="auto"/>
        <w:ind w:firstLine="0"/>
        <w:jc w:val="both"/>
      </w:pPr>
      <w:bookmarkStart w:name="6295-1621681684981" w:id="29"/>
      <w:bookmarkEnd w:id="29"/>
      <w:r>
        <w:rPr>
          <w:color w:val="000000"/>
          <w:sz w:val="24"/>
          <w:highlight w:val="white"/>
        </w:rPr>
        <w:t>所以看到了吧，一旦上了杠杆，在上涨的过程中，本金会快速增长，杠杆倍数会自然下降；而一旦下跌，本金会以更快的速度减少，杠杆倍数也会以更快的速度不断放大。</w:t>
      </w:r>
    </w:p>
    <w:p>
      <w:pPr>
        <w:spacing w:line="322" w:lineRule="auto"/>
        <w:ind w:firstLine="0"/>
        <w:jc w:val="both"/>
      </w:pPr>
      <w:bookmarkStart w:name="9367-1621681684981" w:id="30"/>
      <w:bookmarkEnd w:id="30"/>
      <w:r>
        <w:rPr>
          <w:color w:val="000000"/>
          <w:sz w:val="24"/>
          <w:highlight w:val="white"/>
        </w:rPr>
        <w:t>除了融资买股之外，贷款买房，贷款经营，其实都是我们常见的传统杠杆。</w:t>
      </w:r>
    </w:p>
    <w:p>
      <w:pPr>
        <w:spacing w:line="322" w:lineRule="auto"/>
        <w:ind w:firstLine="0"/>
        <w:jc w:val="both"/>
      </w:pPr>
      <w:bookmarkStart w:name="Idbk-1636257167953" w:id="31"/>
      <w:bookmarkEnd w:id="31"/>
    </w:p>
    <w:p>
      <w:pPr>
        <w:pStyle w:val="2"/>
        <w:spacing w:line="322" w:lineRule="auto" w:before="0" w:after="0"/>
        <w:jc w:val="both"/>
      </w:pPr>
      <w:bookmarkStart w:name="4nGo-1659169164086" w:id="32"/>
      <w:bookmarkEnd w:id="32"/>
      <w:r>
        <w:rPr>
          <w:rFonts w:ascii="微软雅黑" w:hAnsi="微软雅黑" w:cs="微软雅黑" w:eastAsia="微软雅黑"/>
          <w:b w:val="true"/>
          <w:color w:val="000000"/>
          <w:sz w:val="30"/>
        </w:rPr>
        <w:t>爆仓</w:t>
      </w:r>
    </w:p>
    <w:p>
      <w:pPr>
        <w:spacing w:line="322" w:lineRule="auto"/>
        <w:ind w:firstLine="0"/>
        <w:jc w:val="both"/>
      </w:pPr>
      <w:bookmarkStart w:name="6730-1621681535092" w:id="33"/>
      <w:bookmarkEnd w:id="33"/>
      <w:r>
        <w:rPr>
          <w:color w:val="000000"/>
          <w:sz w:val="24"/>
          <w:highlight w:val="white"/>
        </w:rPr>
        <w:t>爆仓是什么意思？加杠杆做多做空的金钱游戏！</w:t>
      </w:r>
      <w:hyperlink r:id="rId19">
        <w:r>
          <w:rPr>
            <w:color w:val="000000"/>
            <w:sz w:val="24"/>
            <w:u w:val="single"/>
          </w:rPr>
          <w:t>https://www.bilibili.com/video/BV1Bp4y1H7BQ/?spm_id_from=autoNext</w:t>
        </w:r>
      </w:hyperlink>
    </w:p>
    <w:p>
      <w:pPr>
        <w:spacing w:line="322" w:lineRule="auto"/>
        <w:ind w:firstLine="0"/>
        <w:jc w:val="both"/>
      </w:pPr>
      <w:bookmarkStart w:name="4087-1621681925688" w:id="34"/>
      <w:bookmarkEnd w:id="34"/>
      <w:r>
        <w:rPr>
          <w:color w:val="000000"/>
          <w:sz w:val="24"/>
          <w:highlight w:val="white"/>
        </w:rPr>
        <w:t>爆仓就是亏损大于帐户中的保证金。</w:t>
      </w:r>
    </w:p>
    <w:p>
      <w:pPr>
        <w:spacing w:line="322" w:lineRule="auto"/>
        <w:ind w:firstLine="0"/>
        <w:jc w:val="both"/>
      </w:pPr>
      <w:bookmarkStart w:name="KlPS-1659169165447" w:id="35"/>
      <w:bookmarkEnd w:id="35"/>
    </w:p>
    <w:p>
      <w:pPr>
        <w:pStyle w:val="2"/>
        <w:spacing w:line="322" w:lineRule="auto" w:before="0" w:after="0"/>
        <w:jc w:val="both"/>
      </w:pPr>
      <w:bookmarkStart w:name="9Qm7-1659169152518" w:id="36"/>
      <w:bookmarkEnd w:id="36"/>
      <w:r>
        <w:rPr>
          <w:rFonts w:ascii="微软雅黑" w:hAnsi="微软雅黑" w:cs="微软雅黑" w:eastAsia="微软雅黑"/>
          <w:b w:val="true"/>
          <w:sz w:val="30"/>
        </w:rPr>
        <w:t>强制平仓</w:t>
      </w:r>
    </w:p>
    <w:p>
      <w:pPr>
        <w:spacing w:line="322" w:lineRule="auto"/>
        <w:jc w:val="both"/>
      </w:pPr>
      <w:bookmarkStart w:name="bjVr-1636257264492" w:id="37"/>
      <w:bookmarkEnd w:id="37"/>
      <w:r>
        <w:rPr>
          <w:color w:val="000000"/>
          <w:sz w:val="24"/>
          <w:highlight w:val="white"/>
        </w:rPr>
        <w:t>强制平仓是指投资者进行融资融券前，要向证券公司交纳一定的保证金，保证金可以是现金、标的证券以及交易所认可的其他证券充抵，如果投资不利发生亏损的程度达到一定比例，快要亏空到证券公司借出的资本，而投资者又未能按期补足抵押物或者偿还债务，证券公司会对投资者账户里的部分或全部证券强行平仓，不足部分还可以向客户追索。</w:t>
      </w:r>
    </w:p>
    <w:p>
      <w:pPr>
        <w:pStyle w:val="2"/>
        <w:spacing w:line="322" w:lineRule="auto" w:before="0" w:after="0"/>
        <w:jc w:val="both"/>
      </w:pPr>
      <w:bookmarkStart w:name="9Z1I-1659169153663" w:id="38"/>
      <w:bookmarkEnd w:id="38"/>
    </w:p>
    <w:p>
      <w:pPr>
        <w:pStyle w:val="2"/>
        <w:spacing w:line="313" w:lineRule="auto" w:before="0" w:after="0"/>
        <w:jc w:val="both"/>
      </w:pPr>
      <w:bookmarkStart w:name="jKT7-1659169429596" w:id="39"/>
      <w:bookmarkEnd w:id="39"/>
      <w:r>
        <w:rPr>
          <w:rFonts w:ascii="微软雅黑" w:hAnsi="微软雅黑" w:cs="微软雅黑" w:eastAsia="微软雅黑"/>
          <w:b w:val="true"/>
          <w:color w:val="000000"/>
          <w:sz w:val="30"/>
        </w:rPr>
        <w:t>网格交易</w:t>
      </w:r>
    </w:p>
    <w:p>
      <w:pPr>
        <w:spacing w:line="313" w:lineRule="auto"/>
        <w:jc w:val="both"/>
      </w:pPr>
      <w:bookmarkStart w:name="q4Ox-1639829297216" w:id="40"/>
      <w:bookmarkEnd w:id="40"/>
      <w:r>
        <w:rPr>
          <w:sz w:val="24"/>
        </w:rPr>
        <w:t>设定价值中枢，利用“档位”的模式对投资标的进行机械式操作，下跌时，进行分档买入，上涨时，进行分档卖出。网格法由于不依赖人为的思考,完全是一种程序行为,像渔网一样,利用行情的波动在网格区间内低买高卖，可以合理控制仓位，避免追涨杀跌,拥有较强的抗风险能力。</w:t>
      </w:r>
    </w:p>
    <w:p>
      <w:pPr>
        <w:spacing w:line="313" w:lineRule="auto"/>
        <w:jc w:val="both"/>
      </w:pPr>
      <w:bookmarkStart w:name="8IrO-1633687954073" w:id="41"/>
      <w:bookmarkEnd w:id="41"/>
      <w:r>
        <w:rPr>
          <w:sz w:val="24"/>
        </w:rPr>
        <w:t>例如国外一个经典的仓位管理系统，某只蓝筹股现价10元，本金是20万。则第一次买入10万元，另外每下跌1元买入1万元，每上涨1元卖出1万元。这就是经典的网格交易，只要股票不退市，就一直有获利的机会。</w:t>
      </w:r>
    </w:p>
    <w:p>
      <w:pPr>
        <w:spacing w:line="313" w:lineRule="auto"/>
        <w:jc w:val="both"/>
      </w:pPr>
      <w:bookmarkStart w:name="zCu2-1659169431030" w:id="42"/>
      <w:bookmarkEnd w:id="42"/>
    </w:p>
    <w:p>
      <w:pPr>
        <w:pStyle w:val="2"/>
        <w:spacing w:line="322" w:lineRule="auto" w:before="0" w:after="0"/>
        <w:ind w:firstLine="0"/>
        <w:jc w:val="both"/>
      </w:pPr>
      <w:bookmarkStart w:name="VEUM-1659169345690" w:id="43"/>
      <w:bookmarkEnd w:id="43"/>
      <w:r>
        <w:rPr>
          <w:rFonts w:ascii="微软雅黑" w:hAnsi="微软雅黑" w:cs="微软雅黑" w:eastAsia="微软雅黑"/>
          <w:b w:val="true"/>
          <w:color w:val="000000"/>
          <w:sz w:val="30"/>
          <w:highlight w:val="white"/>
        </w:rPr>
        <w:t>做多和做空</w:t>
      </w:r>
    </w:p>
    <w:p>
      <w:pPr>
        <w:spacing w:line="320" w:lineRule="auto"/>
        <w:ind w:firstLine="0"/>
        <w:jc w:val="both"/>
      </w:pPr>
      <w:bookmarkStart w:name="7Z8R-1639397174257" w:id="44"/>
      <w:bookmarkEnd w:id="44"/>
      <w:r>
        <w:rPr>
          <w:color w:val="000000"/>
          <w:sz w:val="24"/>
        </w:rPr>
        <w:t>做空是通过金融中介（券商，投行或者交易所中央系统）从其他长线投资者手中借入某只股票，并即时在股票市场卖出。同时给予出借机构一定的借券利息。</w:t>
      </w:r>
    </w:p>
    <w:p>
      <w:pPr>
        <w:spacing w:line="320" w:lineRule="auto"/>
        <w:ind w:firstLine="0"/>
        <w:jc w:val="both"/>
      </w:pPr>
      <w:bookmarkStart w:name="2028-1621677971834" w:id="45"/>
      <w:bookmarkEnd w:id="45"/>
      <w:r>
        <w:rPr>
          <w:color w:val="000000"/>
          <w:sz w:val="24"/>
        </w:rPr>
        <w:t>如果未来一段时间股票价格下跌，则可以从市场上以更低的价格买入同一只股票同样的数额，还给出借者，以此赚取差价从而获利。当然也有可能未来想要买回的时候股票价格更高，那么这单做空交易就会产生亏损。</w:t>
      </w:r>
    </w:p>
    <w:p>
      <w:pPr>
        <w:spacing w:line="300" w:lineRule="auto"/>
        <w:ind w:left="0"/>
      </w:pPr>
      <w:bookmarkStart w:name="7275-1621678571784" w:id="46"/>
      <w:bookmarkEnd w:id="46"/>
      <w:r>
        <w:rPr>
          <w:color w:val="000000"/>
          <w:sz w:val="24"/>
          <w:highlight w:val="white"/>
        </w:rPr>
        <w:t>做多”就是“买” ，“做空”就是“卖” 。“多头”就是你持有的看升的金融商品 ，“空头”就是你持有的看跌的金融商品。</w:t>
      </w:r>
    </w:p>
    <w:p>
      <w:pPr>
        <w:spacing w:line="322" w:lineRule="auto"/>
        <w:jc w:val="both"/>
      </w:pPr>
      <w:bookmarkStart w:name="hNNz-1639397126288" w:id="47"/>
      <w:bookmarkEnd w:id="47"/>
      <w:r>
        <w:rPr>
          <w:color w:val="000000"/>
          <w:sz w:val="24"/>
        </w:rPr>
        <w:t>“做多”很好理解，指的是投资者判断投资标的有上涨趋势后，直接买入当前的资产，持有资产等待上涨，然后卖出获利。</w:t>
      </w:r>
    </w:p>
    <w:p>
      <w:pPr>
        <w:spacing w:line="322" w:lineRule="auto"/>
        <w:jc w:val="both"/>
      </w:pPr>
      <w:bookmarkStart w:name="RLnv-1633229406058" w:id="48"/>
      <w:bookmarkEnd w:id="48"/>
      <w:r>
        <w:rPr>
          <w:color w:val="000000"/>
          <w:sz w:val="24"/>
        </w:rPr>
        <w:t>“做空”，指的是投资者判断投资标的有下跌趋势，先借入标的资产，打个借条，然后用当前价格卖出。等未来投资标的价格下跌后，再用那时的价格买入标的资产，把借条销掉。</w:t>
      </w:r>
    </w:p>
    <w:p>
      <w:pPr>
        <w:spacing w:line="322" w:lineRule="auto"/>
        <w:jc w:val="both"/>
      </w:pPr>
      <w:bookmarkStart w:name="3Hbw-1633229410546" w:id="49"/>
      <w:bookmarkEnd w:id="49"/>
      <w:r>
        <w:rPr>
          <w:color w:val="000000"/>
          <w:sz w:val="24"/>
        </w:rPr>
        <w:t>你可以看到，做多和做空是一对相反的操作模式，一个先买再卖，一个先卖再买，分别通过资产的上涨和下跌来获利。</w:t>
      </w:r>
    </w:p>
    <w:p>
      <w:pPr>
        <w:spacing w:line="320" w:lineRule="auto"/>
        <w:ind w:firstLine="0"/>
        <w:jc w:val="both"/>
      </w:pPr>
      <w:bookmarkStart w:name="5347-1621677971834" w:id="50"/>
      <w:bookmarkEnd w:id="50"/>
      <w:r>
        <w:rPr>
          <w:color w:val="000000"/>
          <w:sz w:val="24"/>
        </w:rPr>
        <w:t>利息忽略不计。我认为一支现在价格100元的股票会跌，所以我今天找你借了1股这支股票，约定6个月后把它还给你。我今天直接卖掉你借我的这1股，那么我立刻获得100元。6个月后，我再以那个时候的价格买入股票，然后还给你。如果股价下跌到90块钱，那么6个月后我只用花90块钱就能买到股票还给你，我净赚10块。如果股价上升到110块钱，我就得多花10块钱买股票来还给你，我就亏了10块。所以，当股价下跌时做空者盈利，而股价上升做空者亏损。</w:t>
      </w:r>
    </w:p>
    <w:p>
      <w:pPr>
        <w:spacing w:line="320" w:lineRule="auto"/>
        <w:ind w:firstLine="0"/>
        <w:jc w:val="both"/>
      </w:pPr>
      <w:bookmarkStart w:name="zQWe-1659169609599" w:id="51"/>
      <w:bookmarkEnd w:id="51"/>
    </w:p>
    <w:p>
      <w:pPr>
        <w:pStyle w:val="2"/>
        <w:spacing w:line="322" w:lineRule="auto" w:before="0" w:after="0"/>
        <w:jc w:val="both"/>
      </w:pPr>
      <w:bookmarkStart w:name="PPTG-1659162199536" w:id="52"/>
      <w:bookmarkEnd w:id="52"/>
      <w:r>
        <w:rPr>
          <w:rFonts w:ascii="微软雅黑" w:hAnsi="微软雅黑" w:cs="微软雅黑" w:eastAsia="微软雅黑"/>
          <w:b w:val="true"/>
          <w:color w:val="000000"/>
          <w:sz w:val="30"/>
        </w:rPr>
        <w:t>AML反洗钱</w:t>
      </w:r>
    </w:p>
    <w:p>
      <w:pPr>
        <w:spacing w:line="322" w:lineRule="auto"/>
        <w:jc w:val="both"/>
      </w:pPr>
      <w:bookmarkStart w:name="CW28-1636257168807" w:id="53"/>
      <w:bookmarkEnd w:id="53"/>
      <w:r>
        <w:rPr>
          <w:color w:val="000000"/>
          <w:sz w:val="24"/>
          <w:highlight w:val="white"/>
        </w:rPr>
        <w:t>AML（</w:t>
      </w:r>
      <w:r>
        <w:rPr>
          <w:color w:val="000000"/>
          <w:sz w:val="24"/>
        </w:rPr>
        <w:t>Anti Money Laundering</w:t>
      </w:r>
      <w:r>
        <w:rPr>
          <w:color w:val="000000"/>
          <w:sz w:val="24"/>
          <w:highlight w:val="white"/>
        </w:rPr>
        <w:t>）反洗钱对于涉猎跨境业务的中小型企业而言，如何避免自己的企业成为洗钱的目标至关重要！</w:t>
      </w:r>
    </w:p>
    <w:p>
      <w:pPr>
        <w:spacing w:line="322" w:lineRule="auto"/>
        <w:jc w:val="both"/>
      </w:pPr>
      <w:bookmarkStart w:name="ixCf-1636257264320" w:id="54"/>
      <w:bookmarkEnd w:id="54"/>
    </w:p>
    <w:p>
      <w:pPr>
        <w:pStyle w:val="1"/>
        <w:spacing w:line="322" w:lineRule="auto" w:before="0" w:after="0"/>
        <w:jc w:val="both"/>
      </w:pPr>
      <w:bookmarkStart w:name="X0g6-1709360387809" w:id="55"/>
      <w:bookmarkEnd w:id="55"/>
      <w:r>
        <w:rPr>
          <w:rFonts w:ascii="微软雅黑" w:hAnsi="微软雅黑" w:cs="微软雅黑" w:eastAsia="微软雅黑"/>
          <w:b w:val="true"/>
          <w:color w:val="000000"/>
          <w:sz w:val="42"/>
          <w:highlight w:val="white"/>
        </w:rPr>
        <w:t>三、债券</w:t>
      </w:r>
    </w:p>
    <w:p>
      <w:pPr>
        <w:pStyle w:val="2"/>
        <w:spacing w:line="240" w:lineRule="auto" w:before="0" w:after="0"/>
      </w:pPr>
      <w:bookmarkStart w:name="tGrb-1709361629523" w:id="56"/>
      <w:bookmarkEnd w:id="56"/>
      <w:r>
        <w:rPr>
          <w:rFonts w:ascii="微软雅黑" w:hAnsi="微软雅黑" w:cs="微软雅黑" w:eastAsia="微软雅黑"/>
          <w:b w:val="true"/>
          <w:sz w:val="30"/>
        </w:rPr>
        <w:t>债券</w:t>
      </w:r>
    </w:p>
    <w:p>
      <w:pPr>
        <w:jc w:val="both"/>
      </w:pPr>
      <w:bookmarkStart w:name="vxFx-1709361632218" w:id="57"/>
      <w:bookmarkEnd w:id="57"/>
      <w:r>
        <w:rPr/>
        <w:t>债券(Bond)是发行者为筹集资金而发行、在约定时间支付一定比例的利息，并在到期时偿还本金的一种有价证券。</w:t>
      </w:r>
    </w:p>
    <w:p>
      <w:pPr/>
      <w:bookmarkStart w:name="mOmu-1709361666210" w:id="58"/>
      <w:bookmarkEnd w:id="58"/>
      <w:r>
        <w:rPr/>
        <w:t>债券基金是基金资产80%以上投资于债券的基金。债券作为重要的大类资产，债券基金的波动性通常要小于股票基金。因此，当债券基金与股票基金进行适当的组合投资时，常常能较好地分散风险。</w:t>
      </w:r>
    </w:p>
    <w:p>
      <w:pPr>
        <w:jc w:val="both"/>
      </w:pPr>
      <w:bookmarkStart w:name="8oKN-1709361644925" w:id="59"/>
      <w:bookmarkEnd w:id="59"/>
    </w:p>
    <w:p>
      <w:pPr>
        <w:pStyle w:val="2"/>
        <w:spacing w:line="240" w:lineRule="auto" w:before="0" w:after="0"/>
      </w:pPr>
      <w:bookmarkStart w:name="R65D-1709360459173" w:id="60"/>
      <w:bookmarkEnd w:id="60"/>
      <w:r>
        <w:rPr>
          <w:rFonts w:ascii="Arial" w:hAnsi="Arial" w:cs="Arial" w:eastAsia="Arial"/>
          <w:b w:val="true"/>
          <w:color w:val="333333"/>
          <w:sz w:val="30"/>
          <w:highlight w:val="white"/>
        </w:rPr>
        <w:t>信用评级</w:t>
      </w:r>
    </w:p>
    <w:p>
      <w:pPr/>
      <w:bookmarkStart w:name="maL8-1709035544811" w:id="61"/>
      <w:bookmarkEnd w:id="61"/>
      <w:r>
        <w:rPr>
          <w:rFonts w:ascii="Arial" w:hAnsi="Arial" w:cs="Arial" w:eastAsia="Arial"/>
          <w:color w:val="333333"/>
          <w:sz w:val="24"/>
          <w:highlight w:val="white"/>
        </w:rPr>
        <w:t>信用评级是对债券发行主体及其所发债券还本付息的可靠程度进行等级划分，分主体信用评级和债券信用评级两种。</w:t>
      </w:r>
    </w:p>
    <w:p>
      <w:pPr/>
      <w:bookmarkStart w:name="TZXJ-1709035545164" w:id="62"/>
      <w:bookmarkEnd w:id="62"/>
      <w:r>
        <w:rPr>
          <w:rFonts w:ascii="Arial" w:hAnsi="Arial" w:cs="Arial" w:eastAsia="Arial"/>
          <w:color w:val="333333"/>
          <w:sz w:val="24"/>
          <w:highlight w:val="white"/>
        </w:rPr>
        <w:t>债券评级分为长期债券评级和短期债券评级。</w:t>
      </w:r>
    </w:p>
    <w:p>
      <w:pPr/>
      <w:bookmarkStart w:name="s6MC-1709035545166" w:id="63"/>
      <w:bookmarkEnd w:id="63"/>
      <w:r>
        <w:rPr>
          <w:rFonts w:ascii="Arial" w:hAnsi="Arial" w:cs="Arial" w:eastAsia="Arial"/>
          <w:color w:val="333333"/>
          <w:sz w:val="24"/>
          <w:highlight w:val="white"/>
        </w:rPr>
        <w:t>长期债券评级：分为三等九级，从高到低为AAA、AA、A、BBB、BB、B、CCC、CC、C。除AAA级、CCC级及以下等级外，每一等级可用“+”、“-”符号进行微调；</w:t>
      </w:r>
    </w:p>
    <w:p>
      <w:pPr/>
      <w:bookmarkStart w:name="5GIR-1709035545168" w:id="64"/>
      <w:bookmarkEnd w:id="64"/>
      <w:r>
        <w:rPr>
          <w:rFonts w:ascii="Arial" w:hAnsi="Arial" w:cs="Arial" w:eastAsia="Arial"/>
          <w:color w:val="333333"/>
          <w:sz w:val="24"/>
          <w:highlight w:val="white"/>
        </w:rPr>
        <w:t>短期债券评级：分为四等六级，从高到低为A-1、A-2、A-3、B、C、D，每一等级均不进行微调。</w:t>
      </w:r>
    </w:p>
    <w:p>
      <w:pPr/>
      <w:bookmarkStart w:name="iPyx-1709035545170" w:id="65"/>
      <w:bookmarkEnd w:id="65"/>
      <w:r>
        <w:rPr>
          <w:rFonts w:ascii="Arial" w:hAnsi="Arial" w:cs="Arial" w:eastAsia="Arial"/>
          <w:color w:val="333333"/>
          <w:sz w:val="24"/>
          <w:highlight w:val="white"/>
        </w:rPr>
        <w:t>一般来说，其他条件相同时，信用等级越低，风险越大。信用等级会随发债主体偿债意愿和增信措施的变化而变化，并非一成不变。</w:t>
      </w:r>
    </w:p>
    <w:p>
      <w:pPr/>
      <w:bookmarkStart w:name="Goku-1709360463519" w:id="66"/>
      <w:bookmarkEnd w:id="66"/>
    </w:p>
    <w:p>
      <w:pPr>
        <w:pStyle w:val="2"/>
        <w:spacing w:line="240" w:lineRule="auto" w:before="0" w:after="0"/>
      </w:pPr>
      <w:bookmarkStart w:name="eQcT-1709360459482" w:id="67"/>
      <w:bookmarkEnd w:id="67"/>
      <w:r>
        <w:rPr>
          <w:rFonts w:ascii="微软雅黑" w:hAnsi="微软雅黑" w:cs="微软雅黑" w:eastAsia="微软雅黑"/>
          <w:b w:val="true"/>
          <w:sz w:val="30"/>
        </w:rPr>
        <w:t>债券交易</w:t>
      </w:r>
    </w:p>
    <w:p>
      <w:pPr/>
      <w:bookmarkStart w:name="lzGi-1709085887918" w:id="68"/>
      <w:bookmarkEnd w:id="68"/>
      <w:r>
        <w:rPr>
          <w:rFonts w:ascii="Arial" w:hAnsi="Arial" w:cs="Arial" w:eastAsia="Arial"/>
          <w:color w:val="000000"/>
          <w:sz w:val="24"/>
          <w:highlight w:val="white"/>
        </w:rPr>
        <w:t>在交易所上的债券交易也是以机构投资者为主，包括商业银行、证券公司、基金公司等金融机构，社会保障基金、企业年金等养老基金，合格境外机构投资者（QFII），人民币合格境外机构投资者（RQFII）等等。</w:t>
      </w:r>
    </w:p>
    <w:p>
      <w:pPr/>
      <w:bookmarkStart w:name="WDmt-1709360779837" w:id="69"/>
      <w:bookmarkEnd w:id="69"/>
    </w:p>
    <w:p>
      <w:pPr>
        <w:pStyle w:val="2"/>
        <w:spacing w:line="240" w:lineRule="auto" w:before="0" w:after="0"/>
      </w:pPr>
      <w:bookmarkStart w:name="chxb-1709360780894" w:id="70"/>
      <w:bookmarkEnd w:id="70"/>
      <w:r>
        <w:rPr>
          <w:rFonts w:ascii="微软雅黑" w:hAnsi="微软雅黑" w:cs="微软雅黑" w:eastAsia="微软雅黑"/>
          <w:b w:val="true"/>
          <w:sz w:val="30"/>
        </w:rPr>
        <w:t>利率债 BP</w:t>
      </w:r>
    </w:p>
    <w:p>
      <w:pPr/>
      <w:bookmarkStart w:name="EC5b-1708599105589" w:id="71"/>
      <w:bookmarkEnd w:id="71"/>
      <w:r>
        <w:rPr/>
        <w:t>基点Basis Point（bp）用于金融方面，债券和票据利率改变量的度量单位。 一个基点等于1个百分点的1%，即0.01%，因此，100个基点等于1%。 如： 浮动利率债券的利率可能比LIBOR高10个基点，100个基点相当于1%，该债券的利率可能比普遍使用的LIBOR利率高0.1%。</w:t>
      </w:r>
    </w:p>
    <w:p>
      <w:pPr/>
      <w:bookmarkStart w:name="d2or-1709360781911" w:id="72"/>
      <w:bookmarkEnd w:id="72"/>
    </w:p>
    <w:p>
      <w:pPr>
        <w:pStyle w:val="2"/>
        <w:spacing w:line="240" w:lineRule="auto" w:before="0" w:after="0"/>
      </w:pPr>
      <w:bookmarkStart w:name="kRSf-1708737132171" w:id="73"/>
      <w:bookmarkEnd w:id="73"/>
      <w:r>
        <w:rPr>
          <w:rFonts w:ascii="Arial" w:hAnsi="Arial" w:cs="Arial" w:eastAsia="Arial"/>
          <w:b w:val="true"/>
          <w:color w:val="333333"/>
          <w:sz w:val="30"/>
          <w:highlight w:val="white"/>
        </w:rPr>
        <w:t>可转债</w:t>
      </w:r>
    </w:p>
    <w:p>
      <w:pPr/>
      <w:bookmarkStart w:name="xADW-1709035630642" w:id="74"/>
      <w:bookmarkEnd w:id="74"/>
      <w:r>
        <w:rPr>
          <w:rFonts w:ascii="Arial" w:hAnsi="Arial" w:cs="Arial" w:eastAsia="Arial"/>
          <w:color w:val="333333"/>
          <w:sz w:val="24"/>
          <w:highlight w:val="white"/>
        </w:rPr>
        <w:t>可转换公司债券，名债实股。</w:t>
      </w:r>
    </w:p>
    <w:p>
      <w:pPr/>
      <w:bookmarkStart w:name="qMAO-1709360443182" w:id="75"/>
      <w:bookmarkEnd w:id="75"/>
      <w:r>
        <w:drawing>
          <wp:inline distT="0" distR="0" distB="0" distL="0">
            <wp:extent cx="5267325" cy="7023100"/>
            <wp:docPr id="0" name="Drawing 0" descr="截图.png"/>
            <a:graphic xmlns:a="http://schemas.openxmlformats.org/drawingml/2006/main">
              <a:graphicData uri="http://schemas.openxmlformats.org/drawingml/2006/picture">
                <pic:pic xmlns:pic="http://schemas.openxmlformats.org/drawingml/2006/picture">
                  <pic:nvPicPr>
                    <pic:cNvPr id="0" name="Picture 0" descr="截图.png"/>
                    <pic:cNvPicPr>
                      <a:picLocks noChangeAspect="true"/>
                    </pic:cNvPicPr>
                  </pic:nvPicPr>
                  <pic:blipFill>
                    <a:blip r:embed="rId20"/>
                    <a:stretch>
                      <a:fillRect/>
                    </a:stretch>
                  </pic:blipFill>
                  <pic:spPr>
                    <a:xfrm>
                      <a:off x="0" y="0"/>
                      <a:ext cx="5267325" cy="7023100"/>
                    </a:xfrm>
                    <a:prstGeom prst="rect">
                      <a:avLst/>
                    </a:prstGeom>
                  </pic:spPr>
                </pic:pic>
              </a:graphicData>
            </a:graphic>
          </wp:inline>
        </w:drawing>
      </w:r>
    </w:p>
    <w:p>
      <w:pPr/>
      <w:bookmarkStart w:name="JrOn-1708737133713" w:id="76"/>
      <w:bookmarkEnd w:id="76"/>
    </w:p>
    <w:p>
      <w:pPr>
        <w:pStyle w:val="2"/>
        <w:spacing w:line="240" w:lineRule="auto" w:before="0" w:after="0"/>
      </w:pPr>
      <w:bookmarkStart w:name="dZTK-1709360746703" w:id="77"/>
      <w:bookmarkEnd w:id="77"/>
      <w:r>
        <w:rPr>
          <w:rFonts w:ascii="微软雅黑" w:hAnsi="微软雅黑" w:cs="微软雅黑" w:eastAsia="微软雅黑"/>
          <w:b w:val="true"/>
          <w:sz w:val="30"/>
        </w:rPr>
        <w:t>债券命名</w:t>
      </w:r>
    </w:p>
    <w:p>
      <w:pPr/>
      <w:bookmarkStart w:name="lJXG-1709360745023" w:id="78"/>
      <w:bookmarkEnd w:id="78"/>
      <w:r>
        <w:rPr/>
        <w:t>命名规则略有差异,大部分以[年份+发债主体+债券类型+期数]来命名。比如债券"21国开05",其含义为2021年国家开发银行发行的第五期金融债券。</w:t>
      </w:r>
    </w:p>
    <w:p>
      <w:pPr/>
      <w:bookmarkStart w:name="4Lsl-1709360810180" w:id="79"/>
      <w:bookmarkEnd w:id="79"/>
    </w:p>
    <w:p>
      <w:pPr>
        <w:pStyle w:val="2"/>
        <w:spacing w:line="240" w:lineRule="auto" w:before="0" w:after="0"/>
      </w:pPr>
      <w:bookmarkStart w:name="Jqs8-1709360740690" w:id="80"/>
      <w:bookmarkEnd w:id="80"/>
      <w:r>
        <w:rPr>
          <w:rFonts w:ascii="微软雅黑" w:hAnsi="微软雅黑" w:cs="微软雅黑" w:eastAsia="微软雅黑"/>
          <w:b w:val="true"/>
          <w:sz w:val="30"/>
        </w:rPr>
        <w:t>利率债和信用债</w:t>
      </w:r>
    </w:p>
    <w:p>
      <w:pPr/>
      <w:bookmarkStart w:name="rmQD-1708346520911" w:id="81"/>
      <w:bookmarkEnd w:id="81"/>
      <w:r>
        <w:rPr>
          <w:rFonts w:ascii="Arial" w:hAnsi="Arial" w:cs="Arial" w:eastAsia="Arial"/>
          <w:color w:val="333333"/>
          <w:sz w:val="24"/>
          <w:highlight w:val="white"/>
        </w:rPr>
        <w:t>利率债的发行主体为国家或信用等级和国家同级的机构，理论上只有利率风险，没有信用风险。利率债的种类包括：国债、政策性金融债、央行票据、地方政府债。</w:t>
      </w:r>
    </w:p>
    <w:p>
      <w:pPr/>
      <w:bookmarkStart w:name="6GRt-1708346521226" w:id="82"/>
      <w:bookmarkEnd w:id="82"/>
      <w:r>
        <w:rPr>
          <w:rFonts w:ascii="Arial" w:hAnsi="Arial" w:cs="Arial" w:eastAsia="Arial"/>
          <w:color w:val="333333"/>
          <w:sz w:val="24"/>
          <w:highlight w:val="white"/>
        </w:rPr>
        <w:t>信用债的发行主体为企业，存在利率风险和信用风险。信用债的种类包括：企业债、企业短期融资券、中期票据、同业存单等。</w:t>
      </w:r>
    </w:p>
    <w:p>
      <w:pPr/>
      <w:bookmarkStart w:name="6pk9-1709360808111" w:id="83"/>
      <w:bookmarkEnd w:id="83"/>
      <w:r>
        <w:drawing>
          <wp:inline distT="0" distR="0" distB="0" distL="0">
            <wp:extent cx="5267325" cy="7018223"/>
            <wp:docPr id="1" name="Drawing 1" descr="截图.png"/>
            <a:graphic xmlns:a="http://schemas.openxmlformats.org/drawingml/2006/main">
              <a:graphicData uri="http://schemas.openxmlformats.org/drawingml/2006/picture">
                <pic:pic xmlns:pic="http://schemas.openxmlformats.org/drawingml/2006/picture">
                  <pic:nvPicPr>
                    <pic:cNvPr id="0" name="Picture 1" descr="截图.png"/>
                    <pic:cNvPicPr>
                      <a:picLocks noChangeAspect="true"/>
                    </pic:cNvPicPr>
                  </pic:nvPicPr>
                  <pic:blipFill>
                    <a:blip r:embed="rId21"/>
                    <a:stretch>
                      <a:fillRect/>
                    </a:stretch>
                  </pic:blipFill>
                  <pic:spPr>
                    <a:xfrm>
                      <a:off x="0" y="0"/>
                      <a:ext cx="5267325" cy="7018223"/>
                    </a:xfrm>
                    <a:prstGeom prst="rect">
                      <a:avLst/>
                    </a:prstGeom>
                  </pic:spPr>
                </pic:pic>
              </a:graphicData>
            </a:graphic>
          </wp:inline>
        </w:drawing>
      </w:r>
    </w:p>
    <w:p>
      <w:pPr>
        <w:pStyle w:val="1"/>
        <w:spacing w:line="322" w:lineRule="auto" w:before="0" w:after="0"/>
        <w:jc w:val="both"/>
      </w:pPr>
      <w:bookmarkStart w:name="Suej-1709360735912" w:id="84"/>
      <w:bookmarkEnd w:id="84"/>
    </w:p>
    <w:p>
      <w:pPr>
        <w:pStyle w:val="2"/>
        <w:spacing w:line="322" w:lineRule="auto" w:before="0" w:after="0"/>
        <w:jc w:val="both"/>
      </w:pPr>
      <w:bookmarkStart w:name="UqxJ-1709361523059" w:id="85"/>
      <w:bookmarkEnd w:id="85"/>
      <w:r>
        <w:rPr>
          <w:rFonts w:ascii="微软雅黑" w:hAnsi="微软雅黑" w:cs="微软雅黑" w:eastAsia="微软雅黑"/>
          <w:b w:val="true"/>
          <w:color w:val="000000"/>
          <w:sz w:val="30"/>
          <w:highlight w:val="white"/>
        </w:rPr>
        <w:t>债券利率和价格</w:t>
      </w:r>
    </w:p>
    <w:p>
      <w:pPr/>
      <w:bookmarkStart w:name="e6ee-1709361529743" w:id="86"/>
      <w:bookmarkEnd w:id="86"/>
      <w:r>
        <w:rPr>
          <w:sz w:val="26"/>
        </w:rPr>
        <w:t>债券的利率，和价格成反比。也就是说，当市场利率下降时，债券价格是上升的。</w:t>
      </w:r>
    </w:p>
    <w:p>
      <w:pPr/>
      <w:bookmarkStart w:name="gF0c-1709361531323" w:id="87"/>
      <w:bookmarkEnd w:id="87"/>
    </w:p>
    <w:p>
      <w:pPr>
        <w:pStyle w:val="2"/>
        <w:spacing w:line="322" w:lineRule="auto" w:before="0" w:after="0"/>
        <w:jc w:val="both"/>
      </w:pPr>
      <w:bookmarkStart w:name="NiCB-1709364163656" w:id="88"/>
      <w:bookmarkEnd w:id="88"/>
      <w:r>
        <w:rPr>
          <w:rFonts w:ascii="微软雅黑" w:hAnsi="微软雅黑" w:cs="微软雅黑" w:eastAsia="微软雅黑"/>
          <w:b w:val="true"/>
          <w:color w:val="000000"/>
          <w:sz w:val="30"/>
          <w:highlight w:val="white"/>
        </w:rPr>
        <w:t>国债逆回购</w:t>
      </w:r>
    </w:p>
    <w:p>
      <w:pPr>
        <w:spacing w:line="322" w:lineRule="auto"/>
        <w:jc w:val="both"/>
      </w:pPr>
      <w:bookmarkStart w:name="OFSy-1640585245213" w:id="89"/>
      <w:bookmarkEnd w:id="89"/>
      <w:r>
        <w:rPr>
          <w:b w:val="true"/>
          <w:sz w:val="24"/>
        </w:rPr>
        <w:t>1.需要钱的一方：</w:t>
      </w:r>
    </w:p>
    <w:p>
      <w:pPr>
        <w:spacing w:line="322" w:lineRule="auto"/>
        <w:jc w:val="both"/>
      </w:pPr>
      <w:bookmarkStart w:name="ohXB-1640585245753" w:id="90"/>
      <w:bookmarkEnd w:id="90"/>
      <w:r>
        <w:rPr>
          <w:sz w:val="24"/>
        </w:rPr>
        <w:t>这一方的手里有国债券，现在需要现金，我们称为正回购方(融资方)；</w:t>
      </w:r>
    </w:p>
    <w:p>
      <w:pPr>
        <w:spacing w:line="322" w:lineRule="auto"/>
        <w:jc w:val="both"/>
      </w:pPr>
      <w:bookmarkStart w:name="YBKo-1640585245753" w:id="91"/>
      <w:bookmarkEnd w:id="91"/>
      <w:r>
        <w:rPr>
          <w:b w:val="true"/>
          <w:sz w:val="24"/>
        </w:rPr>
        <w:t>2.借出钱的一方：</w:t>
      </w:r>
    </w:p>
    <w:p>
      <w:pPr>
        <w:spacing w:line="322" w:lineRule="auto"/>
        <w:jc w:val="both"/>
      </w:pPr>
      <w:bookmarkStart w:name="h6Ef-1640585245753" w:id="92"/>
      <w:bookmarkEnd w:id="92"/>
      <w:r>
        <w:rPr>
          <w:sz w:val="24"/>
        </w:rPr>
        <w:t>这一方手里有现金，需要找到能让它增值的地方，我们称为逆回购方(融券方)。</w:t>
      </w:r>
    </w:p>
    <w:p>
      <w:pPr>
        <w:spacing w:line="322" w:lineRule="auto"/>
        <w:jc w:val="both"/>
      </w:pPr>
      <w:bookmarkStart w:name="a7Ff-1640585245754" w:id="93"/>
      <w:bookmarkEnd w:id="93"/>
      <w:r>
        <w:rPr>
          <w:b w:val="true"/>
          <w:sz w:val="24"/>
        </w:rPr>
        <w:t>3.监督方</w:t>
      </w:r>
    </w:p>
    <w:p>
      <w:pPr>
        <w:spacing w:line="322" w:lineRule="auto"/>
        <w:jc w:val="both"/>
      </w:pPr>
      <w:bookmarkStart w:name="HCJv-1640585245754" w:id="94"/>
      <w:bookmarkEnd w:id="94"/>
      <w:r>
        <w:rPr>
          <w:sz w:val="24"/>
        </w:rPr>
        <w:t>上海证券交易所和深圳证券交易所</w:t>
      </w:r>
    </w:p>
    <w:p>
      <w:pPr>
        <w:spacing w:line="322" w:lineRule="auto"/>
        <w:jc w:val="both"/>
      </w:pPr>
      <w:bookmarkStart w:name="l3Om-1640585245754" w:id="95"/>
      <w:bookmarkEnd w:id="95"/>
      <w:r>
        <w:rPr>
          <w:sz w:val="24"/>
        </w:rPr>
        <w:t>所谓</w:t>
      </w:r>
      <w:r>
        <w:rPr>
          <w:b w:val="true"/>
          <w:sz w:val="24"/>
        </w:rPr>
        <w:t>逆回购</w:t>
      </w:r>
      <w:r>
        <w:rPr>
          <w:sz w:val="24"/>
        </w:rPr>
        <w:t>，可以理解为你主动表示可以借一笔钱出去，同时融资方向你许诺一定的利率，以换得你的现金。到了约定时间呢，借钱的那一方就会乖乖地按照约定利率向你支付本金和利息。整个期间由中间方冻结住融资方的债券作为质押。</w:t>
      </w:r>
    </w:p>
    <w:p>
      <w:pPr>
        <w:spacing w:line="322" w:lineRule="auto"/>
        <w:jc w:val="both"/>
      </w:pPr>
      <w:bookmarkStart w:name="IX1d-1709364165078" w:id="96"/>
      <w:bookmarkEnd w:id="96"/>
      <w:r>
        <w:rPr>
          <w:sz w:val="24"/>
        </w:rPr>
        <w:t>本质就是我们借了一笔超短期贷款给有国债券的兄弟，对方以其做质押，然后你到期收回本金和利息。</w:t>
      </w:r>
    </w:p>
    <w:p>
      <w:pPr/>
      <w:bookmarkStart w:name="dwzP-1709361514118" w:id="97"/>
      <w:bookmarkEnd w:id="97"/>
    </w:p>
    <w:p>
      <w:pPr/>
      <w:bookmarkStart w:name="YTzu-1709364203025" w:id="98"/>
      <w:bookmarkEnd w:id="98"/>
    </w:p>
    <w:p>
      <w:pPr>
        <w:pStyle w:val="1"/>
        <w:spacing w:line="322" w:lineRule="auto" w:before="0" w:after="0"/>
        <w:jc w:val="both"/>
      </w:pPr>
      <w:bookmarkStart w:name="I3Z4-1709361512528" w:id="99"/>
      <w:bookmarkEnd w:id="99"/>
      <w:r>
        <w:rPr>
          <w:rFonts w:ascii="微软雅黑" w:hAnsi="微软雅黑" w:cs="微软雅黑" w:eastAsia="微软雅黑"/>
          <w:b w:val="true"/>
          <w:color w:val="000000"/>
          <w:sz w:val="42"/>
          <w:highlight w:val="white"/>
        </w:rPr>
        <w:t>四、期货</w:t>
      </w:r>
    </w:p>
    <w:p>
      <w:pPr>
        <w:pStyle w:val="2"/>
        <w:spacing w:line="240" w:lineRule="auto" w:before="0" w:after="0"/>
      </w:pPr>
      <w:bookmarkStart w:name="1CMu-1709364120531" w:id="100"/>
      <w:bookmarkEnd w:id="100"/>
      <w:r>
        <w:rPr>
          <w:rFonts w:ascii="微软雅黑" w:hAnsi="微软雅黑" w:cs="微软雅黑" w:eastAsia="微软雅黑"/>
          <w:b w:val="true"/>
          <w:sz w:val="30"/>
        </w:rPr>
        <w:t>期货</w:t>
      </w:r>
    </w:p>
    <w:p>
      <w:pPr>
        <w:spacing w:line="322" w:lineRule="auto"/>
        <w:jc w:val="both"/>
      </w:pPr>
      <w:bookmarkStart w:name="DYj0-1709364115862" w:id="101"/>
      <w:bookmarkEnd w:id="101"/>
      <w:r>
        <w:rPr>
          <w:color w:val="000000"/>
          <w:sz w:val="24"/>
          <w:highlight w:val="white"/>
        </w:rPr>
        <w:t>期货是什么？期货指的是一种远期的“货物”合同。成交了这样的合同，实际上就是承诺在将来某一天买进或卖出一定量的“货物”。当然这样的“货物”可以是大豆、铜等实物商品，也可以是股指、外汇等金融产品。</w:t>
      </w:r>
    </w:p>
    <w:p>
      <w:pPr>
        <w:spacing w:line="322" w:lineRule="auto"/>
        <w:jc w:val="both"/>
      </w:pPr>
      <w:bookmarkStart w:name="yh8Y-1709364127286" w:id="102"/>
      <w:bookmarkEnd w:id="102"/>
    </w:p>
    <w:p>
      <w:pPr>
        <w:pStyle w:val="2"/>
        <w:spacing w:line="322" w:lineRule="auto" w:before="0" w:after="0"/>
        <w:jc w:val="both"/>
      </w:pPr>
      <w:bookmarkStart w:name="qKwO-1709364127477" w:id="103"/>
      <w:bookmarkEnd w:id="103"/>
      <w:r>
        <w:rPr>
          <w:rFonts w:ascii="微软雅黑" w:hAnsi="微软雅黑" w:cs="微软雅黑" w:eastAsia="微软雅黑"/>
          <w:b w:val="true"/>
          <w:color w:val="000000"/>
          <w:sz w:val="30"/>
          <w:highlight w:val="white"/>
        </w:rPr>
        <w:t>期权</w:t>
      </w:r>
    </w:p>
    <w:p>
      <w:pPr>
        <w:spacing w:line="322" w:lineRule="auto"/>
        <w:jc w:val="both"/>
      </w:pPr>
      <w:bookmarkStart w:name="2029-1628899615812" w:id="104"/>
      <w:bookmarkEnd w:id="104"/>
      <w:r>
        <w:rPr>
          <w:color w:val="000000"/>
          <w:sz w:val="24"/>
          <w:highlight w:val="white"/>
        </w:rPr>
        <w:t>什么是期权？期权（Option），是一种选择权，指是一种能在未来某特定时间以特定价格买入或卖出一定数量的某种特定商品的权利。简单而言，对买方来说，它是一种“未来”可以选择执行与否的“权利”。而期权的卖方则只负有期权合约规定的义务。</w:t>
      </w:r>
    </w:p>
    <w:p>
      <w:pPr>
        <w:spacing w:line="322" w:lineRule="auto"/>
        <w:jc w:val="both"/>
      </w:pPr>
      <w:bookmarkStart w:name="HHj4-1709364118457" w:id="105"/>
      <w:bookmarkEnd w:id="105"/>
    </w:p>
    <w:p>
      <w:pPr>
        <w:pStyle w:val="2"/>
        <w:spacing w:line="240" w:lineRule="auto" w:before="0" w:after="0"/>
      </w:pPr>
      <w:bookmarkStart w:name="bPYq-1708737158807" w:id="106"/>
      <w:bookmarkEnd w:id="106"/>
      <w:r>
        <w:rPr>
          <w:rFonts w:ascii="微软雅黑" w:hAnsi="微软雅黑" w:cs="微软雅黑" w:eastAsia="微软雅黑"/>
          <w:b w:val="true"/>
          <w:sz w:val="30"/>
        </w:rPr>
        <w:t>交割</w:t>
      </w:r>
    </w:p>
    <w:p>
      <w:pPr/>
      <w:bookmarkStart w:name="5Urj-1708737140600" w:id="107"/>
      <w:bookmarkEnd w:id="107"/>
      <w:r>
        <w:rPr/>
        <w:t>定义:期货合约到期时,按照期货交易所的规则和程序,交易双方通过该合约所载标的物所有权的转移,或者按照结算价进行现金差价结算,了结到期未平仓合约的过程。</w:t>
      </w:r>
    </w:p>
    <w:p>
      <w:pPr/>
      <w:bookmarkStart w:name="zbcY-1708737146590" w:id="108"/>
      <w:bookmarkEnd w:id="108"/>
      <w:r>
        <w:rPr/>
        <w:t>【实物交割】 以标的物所有权转移方式进行的交割。</w:t>
      </w:r>
    </w:p>
    <w:p>
      <w:pPr/>
      <w:bookmarkStart w:name="X7lu-1708737146592" w:id="109"/>
      <w:bookmarkEnd w:id="109"/>
      <w:r>
        <w:rPr/>
        <w:t>【现金交割】 按结算价进行现金差价结算的交割方式。</w:t>
      </w:r>
    </w:p>
    <w:p>
      <w:pPr/>
      <w:bookmarkStart w:name="9Jo7-1708737146594" w:id="110"/>
      <w:bookmarkEnd w:id="110"/>
      <w:r>
        <w:rPr/>
        <w:t>一般来说,商品期货以实物交割方式为主;股票指数期货、短期利率期货多采用现金交割方式。</w:t>
      </w:r>
    </w:p>
    <w:p>
      <w:pPr>
        <w:spacing w:line="322" w:lineRule="auto"/>
        <w:jc w:val="both"/>
      </w:pPr>
      <w:bookmarkStart w:name="t6g7-1708737132329" w:id="111"/>
      <w:bookmarkEnd w:id="111"/>
    </w:p>
    <w:p>
      <w:pPr>
        <w:pStyle w:val="2"/>
        <w:spacing w:line="322" w:lineRule="auto" w:before="0" w:after="0"/>
        <w:ind w:firstLine="0"/>
        <w:jc w:val="both"/>
      </w:pPr>
      <w:bookmarkStart w:name="qUOK-1709364058464" w:id="112"/>
      <w:bookmarkEnd w:id="112"/>
      <w:r>
        <w:rPr>
          <w:rFonts w:ascii="微软雅黑" w:hAnsi="微软雅黑" w:cs="微软雅黑" w:eastAsia="微软雅黑"/>
          <w:b w:val="true"/>
          <w:color w:val="000000"/>
          <w:sz w:val="30"/>
        </w:rPr>
        <w:t>大宗商品</w:t>
      </w:r>
    </w:p>
    <w:p>
      <w:pPr>
        <w:spacing w:line="322" w:lineRule="auto"/>
        <w:jc w:val="both"/>
      </w:pPr>
      <w:bookmarkStart w:name="hGTK-1639375168733" w:id="113"/>
      <w:bookmarkEnd w:id="113"/>
      <w:r>
        <w:rPr>
          <w:color w:val="000000"/>
          <w:sz w:val="24"/>
          <w:highlight w:val="white"/>
        </w:rPr>
        <w:t>（Commodities）是指可进入流通领域，但非零售环节，具有商品属性并用于工农业生产与消费使用的大批量买卖的物质商品。在</w:t>
      </w:r>
      <w:hyperlink r:id="rId22">
        <w:r>
          <w:rPr>
            <w:color w:val="000000"/>
            <w:sz w:val="24"/>
          </w:rPr>
          <w:t>金融投资</w:t>
        </w:r>
      </w:hyperlink>
      <w:r>
        <w:rPr>
          <w:color w:val="000000"/>
          <w:sz w:val="24"/>
          <w:highlight w:val="white"/>
        </w:rPr>
        <w:t>市场，大宗商品指同质化、可交易、被广泛作为工业基础原材料的商品，如</w:t>
      </w:r>
      <w:hyperlink r:id="rId23">
        <w:r>
          <w:rPr>
            <w:color w:val="000000"/>
            <w:sz w:val="24"/>
          </w:rPr>
          <w:t>原油</w:t>
        </w:r>
      </w:hyperlink>
      <w:r>
        <w:rPr>
          <w:color w:val="000000"/>
          <w:sz w:val="24"/>
          <w:highlight w:val="white"/>
        </w:rPr>
        <w:t>、</w:t>
      </w:r>
      <w:hyperlink r:id="rId24">
        <w:r>
          <w:rPr>
            <w:color w:val="000000"/>
            <w:sz w:val="24"/>
          </w:rPr>
          <w:t>有色金属</w:t>
        </w:r>
      </w:hyperlink>
      <w:r>
        <w:rPr>
          <w:color w:val="000000"/>
          <w:sz w:val="24"/>
          <w:highlight w:val="white"/>
        </w:rPr>
        <w:t>、钢铁、农产品、铁矿石、煤炭等。包括3个类别，即能源商品、基础原材料和农副产品。</w:t>
      </w:r>
    </w:p>
    <w:p>
      <w:pPr>
        <w:spacing w:line="322" w:lineRule="auto"/>
        <w:ind w:firstLine="0"/>
        <w:jc w:val="both"/>
      </w:pPr>
      <w:bookmarkStart w:name="zmB9-1639375080996" w:id="114"/>
      <w:bookmarkEnd w:id="114"/>
    </w:p>
    <w:p>
      <w:pPr>
        <w:spacing w:line="322" w:lineRule="auto"/>
        <w:ind w:firstLine="0"/>
        <w:jc w:val="both"/>
      </w:pPr>
      <w:bookmarkStart w:name="Z6Wq-1709364059286" w:id="115"/>
      <w:bookmarkEnd w:id="115"/>
    </w:p>
    <w:p>
      <w:pPr>
        <w:pStyle w:val="1"/>
        <w:spacing w:line="322" w:lineRule="auto" w:before="0" w:after="0"/>
        <w:ind w:firstLine="0"/>
        <w:jc w:val="both"/>
      </w:pPr>
      <w:bookmarkStart w:name="rCzc-1709364406430" w:id="116"/>
      <w:bookmarkEnd w:id="116"/>
      <w:r>
        <w:rPr>
          <w:rFonts w:ascii="微软雅黑" w:hAnsi="微软雅黑" w:cs="微软雅黑" w:eastAsia="微软雅黑"/>
          <w:b w:val="true"/>
          <w:color w:val="000000"/>
          <w:sz w:val="42"/>
          <w:highlight w:val="white"/>
        </w:rPr>
        <w:t>五、投资机构</w:t>
      </w:r>
    </w:p>
    <w:p>
      <w:pPr>
        <w:pStyle w:val="2"/>
        <w:spacing w:line="240" w:lineRule="auto" w:before="0" w:after="0"/>
      </w:pPr>
      <w:bookmarkStart w:name="8Rmn-1709364065061" w:id="117"/>
      <w:bookmarkEnd w:id="117"/>
      <w:r>
        <w:rPr>
          <w:rFonts w:ascii="微软雅黑" w:hAnsi="微软雅黑" w:cs="微软雅黑" w:eastAsia="微软雅黑"/>
          <w:b w:val="true"/>
          <w:sz w:val="34"/>
        </w:rPr>
        <w:t xml:space="preserve">机构 </w:t>
      </w:r>
    </w:p>
    <w:p>
      <w:pPr/>
      <w:bookmarkStart w:name="wmfE-1709007386506" w:id="118"/>
      <w:bookmarkEnd w:id="118"/>
      <w:r>
        <w:rPr>
          <w:rFonts w:ascii="Arial" w:hAnsi="Arial" w:cs="Arial" w:eastAsia="Arial"/>
          <w:color w:val="333333"/>
          <w:sz w:val="24"/>
          <w:highlight w:val="white"/>
        </w:rPr>
        <w:t>一、机构投资者的定义和特点</w:t>
      </w:r>
    </w:p>
    <w:p>
      <w:pPr/>
      <w:bookmarkStart w:name="QFp6-1709007386787" w:id="119"/>
      <w:bookmarkEnd w:id="119"/>
      <w:r>
        <w:rPr>
          <w:rFonts w:ascii="Arial" w:hAnsi="Arial" w:cs="Arial" w:eastAsia="Arial"/>
          <w:color w:val="333333"/>
          <w:sz w:val="24"/>
          <w:highlight w:val="white"/>
        </w:rPr>
        <w:t>机构投资者是指以投资为主要目的，通过专业化的投资决策和风险管理，进行证券投资活动的法人单位。它们具有以下特点：</w:t>
      </w:r>
    </w:p>
    <w:p>
      <w:pPr/>
      <w:bookmarkStart w:name="qJDZ-1709007386789" w:id="120"/>
      <w:bookmarkEnd w:id="120"/>
      <w:r>
        <w:rPr>
          <w:rFonts w:ascii="Arial" w:hAnsi="Arial" w:cs="Arial" w:eastAsia="Arial"/>
          <w:color w:val="333333"/>
          <w:sz w:val="24"/>
          <w:highlight w:val="white"/>
        </w:rPr>
        <w:t>专业性：机构投资者通常由专业的投资经理和团队组成，具备丰富的投资经验和专业知识，能够进行科学的投资决策和风险管理。</w:t>
      </w:r>
    </w:p>
    <w:p>
      <w:pPr/>
      <w:bookmarkStart w:name="31r3-1709007386791" w:id="121"/>
      <w:bookmarkEnd w:id="121"/>
      <w:r>
        <w:rPr>
          <w:rFonts w:ascii="Arial" w:hAnsi="Arial" w:cs="Arial" w:eastAsia="Arial"/>
          <w:color w:val="333333"/>
          <w:sz w:val="24"/>
          <w:highlight w:val="white"/>
        </w:rPr>
        <w:t>规模效应：机构投资者通常拥有大量的资金和资产，能够通过集中投资降低交易成本，获得规模效应。</w:t>
      </w:r>
    </w:p>
    <w:p>
      <w:pPr/>
      <w:bookmarkStart w:name="wvDv-1709007386794" w:id="122"/>
      <w:bookmarkEnd w:id="122"/>
      <w:r>
        <w:rPr>
          <w:rFonts w:ascii="Arial" w:hAnsi="Arial" w:cs="Arial" w:eastAsia="Arial"/>
          <w:color w:val="333333"/>
          <w:sz w:val="24"/>
          <w:highlight w:val="white"/>
        </w:rPr>
        <w:t>多元化投资：机构投资者通常会进行多元化投资，分散风险，降低单一资产的风险敞口。</w:t>
      </w:r>
    </w:p>
    <w:p>
      <w:pPr/>
      <w:bookmarkStart w:name="MvtY-1709007386796" w:id="123"/>
      <w:bookmarkEnd w:id="123"/>
      <w:r>
        <w:rPr>
          <w:rFonts w:ascii="Arial" w:hAnsi="Arial" w:cs="Arial" w:eastAsia="Arial"/>
          <w:color w:val="333333"/>
          <w:sz w:val="24"/>
          <w:highlight w:val="white"/>
        </w:rPr>
        <w:t>长期投资：机构投资者通常更注重长期投资，追求稳定的收益和资本增值。</w:t>
      </w:r>
    </w:p>
    <w:p>
      <w:pPr/>
      <w:bookmarkStart w:name="GhRJ-1709007386798" w:id="124"/>
      <w:bookmarkEnd w:id="124"/>
      <w:r>
        <w:rPr>
          <w:rFonts w:ascii="Arial" w:hAnsi="Arial" w:cs="Arial" w:eastAsia="Arial"/>
          <w:color w:val="333333"/>
          <w:sz w:val="24"/>
          <w:highlight w:val="white"/>
        </w:rPr>
        <w:t>二、机构投资者的种类</w:t>
      </w:r>
    </w:p>
    <w:p>
      <w:pPr/>
      <w:bookmarkStart w:name="mThq-1709007386800" w:id="125"/>
      <w:bookmarkEnd w:id="125"/>
      <w:r>
        <w:rPr>
          <w:rFonts w:ascii="Arial" w:hAnsi="Arial" w:cs="Arial" w:eastAsia="Arial"/>
          <w:color w:val="333333"/>
          <w:sz w:val="24"/>
          <w:highlight w:val="white"/>
        </w:rPr>
        <w:t>机构投资者主要包括以下几种类型：</w:t>
      </w:r>
    </w:p>
    <w:p>
      <w:pPr/>
      <w:bookmarkStart w:name="s5N4-1709007386802" w:id="126"/>
      <w:bookmarkEnd w:id="126"/>
      <w:r>
        <w:rPr>
          <w:rFonts w:ascii="Arial" w:hAnsi="Arial" w:cs="Arial" w:eastAsia="Arial"/>
          <w:color w:val="333333"/>
          <w:sz w:val="24"/>
          <w:highlight w:val="white"/>
        </w:rPr>
        <w:t>证券公司：证券公司是提供证券交易、证券承销、投资咨询等服务的金融机构，也是机构投资者的重要组成部分。</w:t>
      </w:r>
    </w:p>
    <w:p>
      <w:pPr/>
      <w:bookmarkStart w:name="YIJa-1709007386804" w:id="127"/>
      <w:bookmarkEnd w:id="127"/>
      <w:r>
        <w:rPr>
          <w:rFonts w:ascii="Arial" w:hAnsi="Arial" w:cs="Arial" w:eastAsia="Arial"/>
          <w:color w:val="333333"/>
          <w:sz w:val="24"/>
          <w:highlight w:val="white"/>
        </w:rPr>
        <w:t>保险公司：保险公司通过将保费进行投资，获取收益，实现保险产品的价值。</w:t>
      </w:r>
    </w:p>
    <w:p>
      <w:pPr/>
      <w:bookmarkStart w:name="Bmbr-1709007386806" w:id="128"/>
      <w:bookmarkEnd w:id="128"/>
      <w:r>
        <w:rPr>
          <w:rFonts w:ascii="Arial" w:hAnsi="Arial" w:cs="Arial" w:eastAsia="Arial"/>
          <w:color w:val="333333"/>
          <w:sz w:val="24"/>
          <w:highlight w:val="white"/>
        </w:rPr>
        <w:t>养老基金和社保基金：养老基金和社保基金是社会保障体系的重要组成部分，通过长期投资实现保值增值。</w:t>
      </w:r>
    </w:p>
    <w:p>
      <w:pPr/>
      <w:bookmarkStart w:name="3Rc7-1709007386808" w:id="129"/>
      <w:bookmarkEnd w:id="129"/>
      <w:r>
        <w:rPr>
          <w:rFonts w:ascii="Arial" w:hAnsi="Arial" w:cs="Arial" w:eastAsia="Arial"/>
          <w:color w:val="333333"/>
          <w:sz w:val="24"/>
          <w:highlight w:val="white"/>
        </w:rPr>
        <w:t>私募基金：私募基金是一种以非公开方式向特定投资者募集资金，进行证券投资的基金。</w:t>
      </w:r>
    </w:p>
    <w:p>
      <w:pPr/>
      <w:bookmarkStart w:name="BAO9-1709007386810" w:id="130"/>
      <w:bookmarkEnd w:id="130"/>
      <w:r>
        <w:rPr>
          <w:rFonts w:ascii="Arial" w:hAnsi="Arial" w:cs="Arial" w:eastAsia="Arial"/>
          <w:color w:val="333333"/>
          <w:sz w:val="24"/>
          <w:highlight w:val="white"/>
        </w:rPr>
        <w:t>其他机构投资者：包括银行、信托公司、财务公司等金融机构，以及政府机构、企业等非金融机构。</w:t>
      </w:r>
    </w:p>
    <w:p>
      <w:pPr/>
      <w:bookmarkStart w:name="D5yn-1709364484671" w:id="131"/>
      <w:bookmarkEnd w:id="131"/>
    </w:p>
    <w:p>
      <w:pPr>
        <w:pStyle w:val="2"/>
        <w:spacing w:line="240" w:lineRule="auto" w:before="0" w:after="0"/>
      </w:pPr>
      <w:bookmarkStart w:name="qyRT-1709364451840" w:id="132"/>
      <w:bookmarkEnd w:id="132"/>
      <w:r>
        <w:rPr>
          <w:rFonts w:ascii="微软雅黑" w:hAnsi="微软雅黑" w:cs="微软雅黑" w:eastAsia="微软雅黑"/>
          <w:b w:val="true"/>
          <w:sz w:val="30"/>
        </w:rPr>
        <w:t>国家队</w:t>
      </w:r>
    </w:p>
    <w:p>
      <w:pPr/>
      <w:bookmarkStart w:name="9mCv-1709007276973" w:id="133"/>
      <w:bookmarkEnd w:id="133"/>
      <w:r>
        <w:rPr/>
        <w:t>是投资于股票市场的国资队伍。</w:t>
      </w:r>
      <w:r>
        <w:rPr>
          <w:color w:val="4d5156"/>
          <w:highlight w:val="white"/>
        </w:rPr>
        <w:t>主要是指中金公司、券商、汇金、社保资金等。 </w:t>
      </w:r>
    </w:p>
    <w:p>
      <w:pPr/>
      <w:bookmarkStart w:name="AwHf-1709364482487" w:id="134"/>
      <w:bookmarkEnd w:id="134"/>
      <w:r>
        <w:drawing>
          <wp:inline distT="0" distR="0" distB="0" distL="0">
            <wp:extent cx="5267325" cy="4048905"/>
            <wp:docPr id="2" name="Drawing 2" descr="截图.png"/>
            <a:graphic xmlns:a="http://schemas.openxmlformats.org/drawingml/2006/main">
              <a:graphicData uri="http://schemas.openxmlformats.org/drawingml/2006/picture">
                <pic:pic xmlns:pic="http://schemas.openxmlformats.org/drawingml/2006/picture">
                  <pic:nvPicPr>
                    <pic:cNvPr id="0" name="Picture 2" descr="截图.png"/>
                    <pic:cNvPicPr>
                      <a:picLocks noChangeAspect="true"/>
                    </pic:cNvPicPr>
                  </pic:nvPicPr>
                  <pic:blipFill>
                    <a:blip r:embed="rId25"/>
                    <a:stretch>
                      <a:fillRect/>
                    </a:stretch>
                  </pic:blipFill>
                  <pic:spPr>
                    <a:xfrm>
                      <a:off x="0" y="0"/>
                      <a:ext cx="5267325" cy="4048905"/>
                    </a:xfrm>
                    <a:prstGeom prst="rect">
                      <a:avLst/>
                    </a:prstGeom>
                  </pic:spPr>
                </pic:pic>
              </a:graphicData>
            </a:graphic>
          </wp:inline>
        </w:drawing>
      </w:r>
    </w:p>
    <w:p>
      <w:pPr>
        <w:pStyle w:val="2"/>
        <w:spacing w:line="240" w:lineRule="auto" w:before="0" w:after="0"/>
      </w:pPr>
      <w:bookmarkStart w:name="1e14-1709007292588" w:id="135"/>
      <w:bookmarkEnd w:id="135"/>
      <w:r>
        <w:rPr>
          <w:rFonts w:ascii="微软雅黑" w:hAnsi="微软雅黑" w:cs="微软雅黑" w:eastAsia="微软雅黑"/>
          <w:b w:val="true"/>
          <w:sz w:val="30"/>
        </w:rPr>
        <w:t>席位</w:t>
      </w:r>
    </w:p>
    <w:p>
      <w:pPr/>
      <w:bookmarkStart w:name="Q5XW-1708999313695" w:id="136"/>
      <w:bookmarkEnd w:id="136"/>
      <w:r>
        <w:rPr/>
        <w:t>股票的席位分两种，一种是营业部席位，一种是机构席位，两种席位分别代表不同的两种意思，下面分开给大家介绍一下，两种席位分别是什么意思。</w:t>
      </w:r>
    </w:p>
    <w:p>
      <w:pPr/>
      <w:bookmarkStart w:name="bGbY-1708999314167" w:id="137"/>
      <w:bookmarkEnd w:id="137"/>
      <w:r>
        <w:rPr/>
        <w:t>营业部席位是什么意思？</w:t>
      </w:r>
    </w:p>
    <w:p>
      <w:pPr/>
      <w:bookmarkStart w:name="fNhn-1708999314169" w:id="138"/>
      <w:bookmarkEnd w:id="138"/>
      <w:r>
        <w:rPr/>
        <w:t>所谓营业部席位是指当前这只股票的买入席位中，哪个营业部买的较多都会记录下来，然后会把买入前五名和卖出五名就行公布，也就是我们常说的龙虎榜数据和席位数据。</w:t>
      </w:r>
    </w:p>
    <w:p>
      <w:pPr/>
      <w:bookmarkStart w:name="cpWe-1708999314171" w:id="139"/>
      <w:bookmarkEnd w:id="139"/>
      <w:r>
        <w:rPr/>
        <w:t>机构席位是什么意思？</w:t>
      </w:r>
    </w:p>
    <w:p>
      <w:pPr/>
      <w:bookmarkStart w:name="gab7-1708999314173" w:id="140"/>
      <w:bookmarkEnd w:id="140"/>
      <w:r>
        <w:rPr/>
        <w:t>所谓机构席位是指；一些基金，保险，社保，券商，QFII，等大型公司的专用席位等机构投资者买卖证券的专用通道和席位，统称机构席位。</w:t>
      </w:r>
    </w:p>
    <w:p>
      <w:pPr/>
      <w:bookmarkStart w:name="ZyBW-1708999314175" w:id="141"/>
      <w:bookmarkEnd w:id="141"/>
      <w:r>
        <w:rPr/>
        <w:t>机构席位的出现参考意义较大，因为机构的买入和卖出是纯主力资金，没有散户的数据在里面，一般机构如出现在前买入的席位中且买入金额较多的话，后市继续看好。</w:t>
      </w:r>
    </w:p>
    <w:p>
      <w:pPr/>
      <w:bookmarkStart w:name="Jj00-1708999314177" w:id="142"/>
      <w:bookmarkEnd w:id="142"/>
      <w:r>
        <w:rPr/>
        <w:t>如机构席位出现在卖出席位中且卖出金额也较大的话一般后期继续下跌的概率较大。</w:t>
      </w:r>
    </w:p>
    <w:p>
      <w:pPr/>
      <w:bookmarkStart w:name="XPjT-1708999314179" w:id="143"/>
      <w:bookmarkEnd w:id="143"/>
      <w:r>
        <w:rPr/>
        <w:t>各类席位的名称含义（普通、券本、重游、基金、QFII、T席）</w:t>
      </w:r>
    </w:p>
    <w:p>
      <w:pPr/>
      <w:bookmarkStart w:name="Lv6F-1708999314181" w:id="144"/>
      <w:bookmarkEnd w:id="144"/>
      <w:r>
        <w:rPr/>
        <w:t>1、券商本部营业部：券商自营的营业部，一般用来接待大客户以及内部客户，所以有单独拿出来做统计跟踪的必要。</w:t>
      </w:r>
    </w:p>
    <w:p>
      <w:pPr/>
      <w:bookmarkStart w:name="zb9C-1708999314183" w:id="145"/>
      <w:bookmarkEnd w:id="145"/>
      <w:r>
        <w:rPr/>
        <w:t>2、普通营业部：券商在各个城市街道设置的营业部，主要用来接待散户。</w:t>
      </w:r>
    </w:p>
    <w:p>
      <w:pPr/>
      <w:bookmarkStart w:name="wok1-1708999314185" w:id="146"/>
      <w:bookmarkEnd w:id="146"/>
      <w:r>
        <w:rPr/>
        <w:t>3、重点私募/游资：券商的某些营业部，其客户主要是超大客户例如私募基金、大量游资持有者，非常需要关注。私募游资在股市的兴风作浪一点都不差过基金机构。重点游资营业部也在不断变化中，因为不断有新开户的大户，以及原有大户转移户头到其他营业部。</w:t>
      </w:r>
    </w:p>
    <w:p>
      <w:pPr/>
      <w:bookmarkStart w:name="IAtE-1708999314187" w:id="147"/>
      <w:bookmarkEnd w:id="147"/>
      <w:r>
        <w:rPr/>
        <w:t>4、基金席位：是59家基金公司的数百只基金专用的操作席位，只用于基金持有资金的操作。是股市中最重要的主力。</w:t>
      </w:r>
    </w:p>
    <w:p>
      <w:pPr/>
      <w:bookmarkStart w:name="5XRQ-1708999314189" w:id="148"/>
      <w:bookmarkEnd w:id="148"/>
      <w:r>
        <w:rPr/>
        <w:t>5、QFII： QFII是Qualified foreign institutional investor （合格的境外机构投资者） 的首字缩写。它是一国在货币没有实现完全可**兑换、资本项目尚未开放的情况下，有限度地引进外资、开放资本市场的一项过渡性的制度。这种制度要求外国投资者若要进入一国证券市场，必须符合一定的条件，得到该国有关部门的审批通过后汇入一定额度的外汇资金，并转换为当地货币，通过严格监管的专门帐户投资当地证券市场。</w:t>
      </w:r>
    </w:p>
    <w:p>
      <w:pPr/>
      <w:bookmarkStart w:name="p58W-1708999314191" w:id="149"/>
      <w:bookmarkEnd w:id="149"/>
      <w:r>
        <w:rPr/>
        <w:t>6、T字头席位：俗称国家队，主要是国家大型资金持有单位，例如养老储备金、医疗储备金等操作股市的专用席位</w:t>
      </w:r>
    </w:p>
    <w:p>
      <w:pPr/>
      <w:bookmarkStart w:name="cIzo-1709364523956" w:id="150"/>
      <w:bookmarkEnd w:id="150"/>
    </w:p>
    <w:p>
      <w:pPr>
        <w:pStyle w:val="2"/>
        <w:spacing w:line="240" w:lineRule="auto" w:before="0" w:after="0"/>
      </w:pPr>
      <w:bookmarkStart w:name="DvFT-1709364518794" w:id="151"/>
      <w:bookmarkEnd w:id="151"/>
      <w:r>
        <w:rPr>
          <w:rFonts w:ascii="微软雅黑" w:hAnsi="微软雅黑" w:cs="微软雅黑" w:eastAsia="微软雅黑"/>
          <w:b w:val="true"/>
          <w:sz w:val="30"/>
        </w:rPr>
        <w:t>投行</w:t>
      </w:r>
    </w:p>
    <w:p>
      <w:pPr/>
      <w:bookmarkStart w:name="ufGx-1708736946915" w:id="152"/>
      <w:bookmarkEnd w:id="152"/>
      <w:r>
        <w:rPr/>
        <w:t>投行作为一个为投资提供各类服务的金融机构，投资银行为公司和政府等提供咨询和筹集资金的服务。</w:t>
      </w:r>
    </w:p>
    <w:p>
      <w:pPr/>
      <w:bookmarkStart w:name="tqfx-1708999313363" w:id="153"/>
      <w:bookmarkEnd w:id="153"/>
    </w:p>
    <w:p>
      <w:pPr/>
      <w:bookmarkStart w:name="yAry-1709364528648" w:id="154"/>
      <w:bookmarkEnd w:id="154"/>
    </w:p>
    <w:p>
      <w:pPr>
        <w:pStyle w:val="1"/>
        <w:spacing w:line="322" w:lineRule="auto" w:before="0" w:after="0"/>
        <w:jc w:val="both"/>
      </w:pPr>
      <w:bookmarkStart w:name="y1Ef-1659169294001" w:id="155"/>
      <w:bookmarkEnd w:id="155"/>
      <w:r>
        <w:rPr>
          <w:rFonts w:ascii="微软雅黑" w:hAnsi="微软雅黑" w:cs="微软雅黑" w:eastAsia="微软雅黑"/>
          <w:b w:val="true"/>
          <w:color w:val="000000"/>
          <w:sz w:val="42"/>
          <w:highlight w:val="white"/>
        </w:rPr>
        <w:t>六、其它</w:t>
      </w:r>
    </w:p>
    <w:p>
      <w:pPr>
        <w:pStyle w:val="2"/>
        <w:spacing w:line="420" w:lineRule="auto" w:before="0" w:after="0"/>
        <w:ind w:firstLine="0"/>
      </w:pPr>
      <w:bookmarkStart w:name="1MsD-1659169703707" w:id="156"/>
      <w:bookmarkEnd w:id="156"/>
      <w:r>
        <w:rPr>
          <w:rFonts w:ascii="微软雅黑" w:hAnsi="微软雅黑" w:cs="微软雅黑" w:eastAsia="微软雅黑"/>
          <w:b w:val="true"/>
          <w:color w:val="333333"/>
          <w:sz w:val="30"/>
          <w:highlight w:val="white"/>
        </w:rPr>
        <w:t>券商</w:t>
      </w:r>
    </w:p>
    <w:p>
      <w:pPr>
        <w:spacing w:line="420" w:lineRule="auto"/>
        <w:ind w:firstLine="0"/>
      </w:pPr>
      <w:bookmarkStart w:name="zv4m-1659158795145" w:id="157"/>
      <w:bookmarkEnd w:id="157"/>
      <w:r>
        <w:rPr>
          <w:color w:val="333333"/>
          <w:sz w:val="24"/>
          <w:highlight w:val="white"/>
        </w:rPr>
        <w:t>“券商”，即是经营证券交易的公司，或称证券公司。在中国有中信、中信建投、申银万国、齐鲁、银河、华泰、国信、广发等。其实就是上交所和深交所的代理商。</w:t>
      </w:r>
    </w:p>
    <w:p>
      <w:pPr>
        <w:spacing w:line="420" w:lineRule="auto"/>
        <w:ind w:firstLine="0"/>
      </w:pPr>
      <w:bookmarkStart w:name="nDFt-1659158778867" w:id="158"/>
      <w:bookmarkEnd w:id="158"/>
    </w:p>
    <w:p>
      <w:pPr>
        <w:pStyle w:val="2"/>
        <w:spacing w:line="322" w:lineRule="auto" w:before="0" w:after="0"/>
        <w:ind w:firstLine="0"/>
        <w:jc w:val="both"/>
      </w:pPr>
      <w:bookmarkStart w:name="20mg-1659169733362" w:id="159"/>
      <w:bookmarkEnd w:id="159"/>
      <w:r>
        <w:rPr>
          <w:rFonts w:ascii="微软雅黑" w:hAnsi="微软雅黑" w:cs="微软雅黑" w:eastAsia="微软雅黑"/>
          <w:b w:val="true"/>
          <w:color w:val="000000"/>
          <w:sz w:val="30"/>
        </w:rPr>
        <w:t>顺周期</w:t>
      </w:r>
    </w:p>
    <w:p>
      <w:pPr>
        <w:spacing w:line="322" w:lineRule="auto"/>
        <w:ind w:firstLine="0"/>
        <w:jc w:val="both"/>
      </w:pPr>
      <w:bookmarkStart w:name="AMF3-1639375093524" w:id="160"/>
      <w:bookmarkEnd w:id="160"/>
      <w:r>
        <w:rPr>
          <w:color w:val="000000"/>
          <w:sz w:val="24"/>
          <w:highlight w:val="white"/>
        </w:rPr>
        <w:t>所谓“</w:t>
      </w:r>
      <w:hyperlink r:id="rId26">
        <w:r>
          <w:rPr>
            <w:color w:val="000000"/>
            <w:sz w:val="24"/>
            <w:highlight w:val="white"/>
          </w:rPr>
          <w:t>顺周期效应</w:t>
        </w:r>
      </w:hyperlink>
      <w:r>
        <w:rPr>
          <w:color w:val="000000"/>
          <w:sz w:val="24"/>
          <w:highlight w:val="white"/>
        </w:rPr>
        <w:t>”，是指市场高涨时，交易价格高企的诱因导致相关产品价值的高估；市场低落时，交易价格低落的诱因导致相关产品</w:t>
      </w:r>
      <w:hyperlink r:id="rId27">
        <w:r>
          <w:rPr>
            <w:color w:val="000000"/>
            <w:sz w:val="24"/>
            <w:highlight w:val="white"/>
          </w:rPr>
          <w:t>价值</w:t>
        </w:r>
      </w:hyperlink>
      <w:r>
        <w:rPr>
          <w:color w:val="000000"/>
          <w:sz w:val="24"/>
          <w:highlight w:val="white"/>
        </w:rPr>
        <w:t>的</w:t>
      </w:r>
      <w:hyperlink r:id="rId28">
        <w:r>
          <w:rPr>
            <w:color w:val="000000"/>
            <w:sz w:val="24"/>
            <w:highlight w:val="white"/>
          </w:rPr>
          <w:t>低估</w:t>
        </w:r>
      </w:hyperlink>
      <w:r>
        <w:rPr>
          <w:color w:val="000000"/>
          <w:sz w:val="24"/>
          <w:highlight w:val="white"/>
        </w:rPr>
        <w:t>。即便在没有活跃市场而需要建立</w:t>
      </w:r>
      <w:hyperlink r:id="rId29">
        <w:r>
          <w:rPr>
            <w:color w:val="000000"/>
            <w:sz w:val="24"/>
            <w:highlight w:val="white"/>
          </w:rPr>
          <w:t>估值</w:t>
        </w:r>
      </w:hyperlink>
      <w:r>
        <w:rPr>
          <w:color w:val="000000"/>
          <w:sz w:val="24"/>
          <w:highlight w:val="white"/>
        </w:rPr>
        <w:t>模型的条件下，也因为不同模型的差异以及诸多变量的差异，使估值结果不可避免地带有强烈的主观性。高速发展，靠投资驱动，经济好的时候，投资增速高；经济不好的时候，投资增速就低。</w:t>
      </w:r>
    </w:p>
    <w:p>
      <w:pPr>
        <w:spacing w:line="322" w:lineRule="auto"/>
        <w:ind w:firstLine="0"/>
        <w:jc w:val="both"/>
      </w:pPr>
      <w:bookmarkStart w:name="8550-1618707022411" w:id="161"/>
      <w:bookmarkEnd w:id="161"/>
      <w:r>
        <w:rPr>
          <w:color w:val="000000"/>
          <w:sz w:val="24"/>
          <w:highlight w:val="white"/>
        </w:rPr>
        <w:t>决定投资增速的主力，GDP三驾马车可拆分为，房地产投资+基建投资+制造业投资。通常情况下，大概的产业链条关系如下，【煤炭、有色—&gt;建材、钢铁、水泥、化工、工程机械、家电、汽车—&gt;房地产、基建等】。另外，经济好的时候，大家的投资欲望飙升，银行的坏账率低，所以【金融行业】也是顺周期行业。</w:t>
      </w:r>
    </w:p>
    <w:p>
      <w:pPr>
        <w:spacing w:line="322" w:lineRule="auto"/>
        <w:ind w:firstLine="0"/>
        <w:jc w:val="both"/>
      </w:pPr>
      <w:bookmarkStart w:name="4qM6-1659169734608" w:id="162"/>
      <w:bookmarkEnd w:id="162"/>
    </w:p>
    <w:p>
      <w:pPr>
        <w:pStyle w:val="2"/>
        <w:spacing w:line="320" w:lineRule="auto" w:before="0" w:after="0"/>
        <w:jc w:val="both"/>
      </w:pPr>
      <w:bookmarkStart w:name="oV2S-1659169704292" w:id="163"/>
      <w:bookmarkEnd w:id="163"/>
      <w:r>
        <w:rPr>
          <w:rFonts w:ascii="微软雅黑" w:hAnsi="微软雅黑" w:cs="微软雅黑" w:eastAsia="微软雅黑"/>
          <w:b w:val="true"/>
          <w:sz w:val="30"/>
        </w:rPr>
        <w:t>主账户和子账户</w:t>
      </w:r>
    </w:p>
    <w:p>
      <w:pPr>
        <w:spacing w:line="320" w:lineRule="auto"/>
        <w:ind w:firstLine="0"/>
        <w:jc w:val="both"/>
      </w:pPr>
      <w:bookmarkStart w:name="2647-1628694345355" w:id="164"/>
      <w:bookmarkEnd w:id="164"/>
      <w:r>
        <w:rPr>
          <w:color w:val="333333"/>
          <w:sz w:val="24"/>
          <w:highlight w:val="white"/>
        </w:rPr>
        <w:t>主资金账户，和辅资金账户吧。主资金账户，用于股票交易和资金转账。</w:t>
      </w:r>
    </w:p>
    <w:p>
      <w:pPr>
        <w:spacing w:line="320" w:lineRule="auto"/>
        <w:ind w:firstLine="0"/>
        <w:jc w:val="both"/>
      </w:pPr>
      <w:bookmarkStart w:name="8787-1628694375173" w:id="165"/>
      <w:bookmarkEnd w:id="165"/>
      <w:r>
        <w:rPr>
          <w:color w:val="333333"/>
          <w:sz w:val="24"/>
          <w:highlight w:val="white"/>
        </w:rPr>
        <w:t>辅账户，只用于转账，不用于股票交易。主账户和辅账户之间可以资金互转。每个辅账户都可以绑定一张银行卡。</w:t>
      </w:r>
    </w:p>
    <w:p>
      <w:pPr>
        <w:spacing w:line="320" w:lineRule="auto"/>
        <w:ind w:firstLine="0"/>
        <w:jc w:val="both"/>
      </w:pPr>
      <w:bookmarkStart w:name="4054-1628694445113" w:id="166"/>
      <w:bookmarkEnd w:id="166"/>
      <w:r>
        <w:rPr>
          <w:color w:val="333333"/>
          <w:sz w:val="24"/>
          <w:highlight w:val="white"/>
        </w:rPr>
        <w:t>银行卡的子账户是附属于用户银行卡主账户的一种账户：一张银行卡内可以开立多币种(</w:t>
      </w:r>
      <w:hyperlink r:id="rId30">
        <w:r>
          <w:rPr>
            <w:color w:val="333333"/>
            <w:sz w:val="24"/>
            <w:highlight w:val="white"/>
          </w:rPr>
          <w:t>人民币</w:t>
        </w:r>
      </w:hyperlink>
      <w:r>
        <w:rPr>
          <w:color w:val="333333"/>
          <w:sz w:val="24"/>
          <w:highlight w:val="white"/>
        </w:rPr>
        <w:t>、美圆、港币、英镑等)、多储种（活期、整存整取、零存整取、存本取息、通知存款等）的账户，实现一卡多户的功能，方便客户主账号对各功能子账户的管理。简而言之，子账户就是同一个卡里面开通并管理如活期、定期、本币、外币等不同的多个下属账户，可以理解为这些子账户都在用户储蓄卡的账号里面。</w:t>
      </w:r>
    </w:p>
    <w:p>
      <w:pPr>
        <w:spacing w:line="320" w:lineRule="auto"/>
        <w:ind w:firstLine="0"/>
        <w:jc w:val="both"/>
      </w:pPr>
      <w:bookmarkStart w:name="kKxO-1709363982655" w:id="167"/>
      <w:bookmarkEnd w:id="167"/>
    </w:p>
    <w:p>
      <w:pPr>
        <w:pStyle w:val="2"/>
        <w:spacing w:line="322" w:lineRule="auto" w:before="0" w:after="0"/>
        <w:jc w:val="both"/>
      </w:pPr>
      <w:bookmarkStart w:name="WQcu-1659169657623" w:id="168"/>
      <w:bookmarkEnd w:id="168"/>
      <w:r>
        <w:rPr>
          <w:rFonts w:ascii="微软雅黑" w:hAnsi="微软雅黑" w:cs="微软雅黑" w:eastAsia="微软雅黑"/>
          <w:b w:val="true"/>
          <w:color w:val="000000"/>
          <w:sz w:val="30"/>
        </w:rPr>
        <w:t>企稳</w:t>
      </w:r>
    </w:p>
    <w:p>
      <w:pPr>
        <w:spacing w:line="322" w:lineRule="auto"/>
        <w:ind w:firstLine="0"/>
        <w:jc w:val="both"/>
      </w:pPr>
      <w:bookmarkStart w:name="rnZM-1632792257485" w:id="169"/>
      <w:bookmarkEnd w:id="169"/>
      <w:r>
        <w:rPr>
          <w:color w:val="000000"/>
          <w:sz w:val="24"/>
          <w:highlight w:val="white"/>
        </w:rPr>
        <w:t>“企”在</w:t>
      </w:r>
      <w:hyperlink r:id="rId31">
        <w:r>
          <w:rPr>
            <w:color w:val="000000"/>
            <w:sz w:val="24"/>
          </w:rPr>
          <w:t>客家语</w:t>
        </w:r>
      </w:hyperlink>
      <w:r>
        <w:rPr>
          <w:color w:val="000000"/>
          <w:sz w:val="24"/>
          <w:highlight w:val="white"/>
        </w:rPr>
        <w:t>和粤语里是“站”的意思，“企稳”就是站稳，这应该是首先用于股评领域。香港的</w:t>
      </w:r>
      <w:hyperlink r:id="rId32">
        <w:r>
          <w:rPr>
            <w:color w:val="000000"/>
            <w:sz w:val="24"/>
          </w:rPr>
          <w:t>股市</w:t>
        </w:r>
      </w:hyperlink>
      <w:r>
        <w:rPr>
          <w:color w:val="000000"/>
          <w:sz w:val="24"/>
          <w:highlight w:val="white"/>
        </w:rPr>
        <w:t>比大陆开得早，比大陆发展程度高，大陆股评学</w:t>
      </w:r>
      <w:hyperlink r:id="rId33">
        <w:r>
          <w:rPr>
            <w:color w:val="000000"/>
            <w:sz w:val="24"/>
          </w:rPr>
          <w:t>香港</w:t>
        </w:r>
      </w:hyperlink>
      <w:r>
        <w:rPr>
          <w:color w:val="000000"/>
          <w:sz w:val="24"/>
          <w:highlight w:val="white"/>
        </w:rPr>
        <w:t>，所以就有了“企稳”这个词。进而，其他经济领域也借用了这个词，扩展了词义。原来企稳是个方言里的词，是个股市里的词。用这个词来形容全国经济大形势稳定。</w:t>
      </w:r>
      <w:r>
        <w:rPr>
          <w:b w:val="true"/>
          <w:color w:val="f33232"/>
          <w:sz w:val="24"/>
        </w:rPr>
        <w:t>头寸</w:t>
      </w:r>
    </w:p>
    <w:p>
      <w:pPr>
        <w:spacing w:line="322" w:lineRule="auto"/>
        <w:ind w:firstLine="0"/>
        <w:jc w:val="both"/>
      </w:pPr>
      <w:bookmarkStart w:name="3020-1622859266572" w:id="170"/>
      <w:bookmarkEnd w:id="170"/>
      <w:r>
        <w:rPr>
          <w:color w:val="000000"/>
          <w:sz w:val="24"/>
          <w:highlight w:val="white"/>
        </w:rPr>
        <w:t>头寸其实就是款项的意思，指的是银行当前所有可以运用的资金的总和，主要包括在央行的超额准备金、存放同业清算款项净额、银行存款以及现金等部分。作为专业术语的头寸，也称为“头衬”，是一种市场约定，承诺买卖合约的最初部位，买进合约者是多头，处于盼涨部位；卖出合约者为空头，处于盼跌部位。</w:t>
      </w:r>
    </w:p>
    <w:p>
      <w:pPr>
        <w:spacing w:line="322" w:lineRule="auto"/>
        <w:ind w:firstLine="0"/>
        <w:jc w:val="both"/>
      </w:pPr>
      <w:bookmarkStart w:name="7274-1622859947070" w:id="171"/>
      <w:bookmarkEnd w:id="171"/>
      <w:r>
        <w:rPr>
          <w:color w:val="000000"/>
          <w:sz w:val="24"/>
          <w:highlight w:val="white"/>
        </w:rPr>
        <w:t>收多付少，叫做“多头寸”；收少付多，叫做“缺头寸”；</w:t>
      </w:r>
    </w:p>
    <w:p>
      <w:pPr>
        <w:spacing w:line="322" w:lineRule="auto"/>
        <w:ind w:firstLine="0"/>
        <w:jc w:val="both"/>
      </w:pPr>
      <w:bookmarkStart w:name="2420-1622859947475" w:id="172"/>
      <w:bookmarkEnd w:id="172"/>
      <w:r>
        <w:rPr>
          <w:color w:val="000000"/>
          <w:sz w:val="24"/>
          <w:highlight w:val="white"/>
        </w:rPr>
        <w:t>结算收付差额，叫做“轧头寸”；借款弥补差额，叫做“拆头寸”；想方设法调进款项，叫做“调头寸”；</w:t>
      </w:r>
    </w:p>
    <w:p>
      <w:pPr>
        <w:spacing w:line="322" w:lineRule="auto"/>
        <w:ind w:firstLine="0"/>
        <w:jc w:val="both"/>
      </w:pPr>
      <w:bookmarkStart w:name="6122-1622859947475" w:id="173"/>
      <w:bookmarkEnd w:id="173"/>
      <w:r>
        <w:rPr>
          <w:color w:val="000000"/>
          <w:sz w:val="24"/>
          <w:highlight w:val="white"/>
        </w:rPr>
        <w:t>暂时未用款项大于需用量，叫做“头寸松”；资金需求量大于闲置量，叫做“头寸紧”。</w:t>
      </w:r>
    </w:p>
    <w:p>
      <w:pPr>
        <w:spacing w:line="322" w:lineRule="auto"/>
        <w:ind w:firstLine="0"/>
        <w:jc w:val="both"/>
      </w:pPr>
      <w:bookmarkStart w:name="Ijh3-1639376525243" w:id="174"/>
      <w:bookmarkEnd w:id="174"/>
    </w:p>
    <w:p>
      <w:pPr>
        <w:pStyle w:val="2"/>
        <w:spacing w:line="322" w:lineRule="auto" w:before="0" w:after="0"/>
        <w:ind w:firstLine="0"/>
        <w:jc w:val="both"/>
      </w:pPr>
      <w:bookmarkStart w:name="VhMM-1659169657624" w:id="175"/>
      <w:bookmarkEnd w:id="175"/>
      <w:r>
        <w:rPr>
          <w:rFonts w:ascii="微软雅黑" w:hAnsi="微软雅黑" w:cs="微软雅黑" w:eastAsia="微软雅黑"/>
          <w:b w:val="true"/>
          <w:color w:val="000000"/>
          <w:sz w:val="30"/>
          <w:highlight w:val="white"/>
        </w:rPr>
        <w:t>利好和利空</w:t>
      </w:r>
    </w:p>
    <w:p>
      <w:pPr>
        <w:spacing w:line="322" w:lineRule="auto"/>
        <w:ind w:firstLine="0"/>
        <w:jc w:val="both"/>
      </w:pPr>
      <w:bookmarkStart w:name="gooX-1639376525507" w:id="176"/>
      <w:bookmarkEnd w:id="176"/>
      <w:r>
        <w:rPr>
          <w:color w:val="000000"/>
          <w:sz w:val="24"/>
        </w:rPr>
        <w:t>利好就是带来好消息，能促使刺激股票市场或金融市场上涨的因素，利空就是给股市或金融市场带来不好的因素，从而使股票等金融产品下跌。影响利好和利空因素如下：</w:t>
      </w:r>
    </w:p>
    <w:p>
      <w:pPr>
        <w:spacing w:line="322" w:lineRule="auto"/>
        <w:ind w:firstLine="0"/>
        <w:jc w:val="both"/>
      </w:pPr>
      <w:bookmarkStart w:name="I8LZ-1621301051123" w:id="177"/>
      <w:bookmarkEnd w:id="177"/>
      <w:r>
        <w:rPr>
          <w:color w:val="000000"/>
          <w:sz w:val="24"/>
        </w:rPr>
        <w:t>利好：国家实施宽松的货币政策，降低银行存贷利率，上市公司经营状况良好，分红，回购，重组等因素都会使股市利好，消息面刺激，投资者赚钱效应高。</w:t>
      </w:r>
    </w:p>
    <w:p>
      <w:pPr>
        <w:spacing w:line="322" w:lineRule="auto"/>
        <w:ind w:firstLine="0"/>
        <w:jc w:val="both"/>
      </w:pPr>
      <w:bookmarkStart w:name="6NzH-1621301051123" w:id="178"/>
      <w:bookmarkEnd w:id="178"/>
      <w:r>
        <w:rPr>
          <w:color w:val="000000"/>
          <w:sz w:val="24"/>
        </w:rPr>
        <w:t>利空：国家实施紧缩的货币政策，加息，外围股市重创，上市后公司经营恶化，财务出现重大危机等因素都会使股价利空下跌，利空带来恐慌盘抛售，股价下跌投资者赚钱效应大大减少。</w:t>
      </w:r>
    </w:p>
    <w:p>
      <w:pPr>
        <w:spacing w:line="322" w:lineRule="auto"/>
        <w:ind w:firstLine="0"/>
        <w:jc w:val="both"/>
      </w:pPr>
      <w:bookmarkStart w:name="8Hj8-1621301071482" w:id="179"/>
      <w:bookmarkEnd w:id="179"/>
      <w:r>
        <w:rPr>
          <w:color w:val="000000"/>
          <w:sz w:val="24"/>
        </w:rPr>
        <w:t>另外一些政治、经济、军事、外交等方面对金融市场有利好或利空的情形。投资者投资金融市场时，要关注各方面的利空信息，避免踩雷。</w:t>
      </w:r>
    </w:p>
    <w:p>
      <w:pPr>
        <w:spacing w:line="322" w:lineRule="auto"/>
        <w:ind w:firstLine="0"/>
        <w:jc w:val="both"/>
      </w:pPr>
      <w:bookmarkStart w:name="coIH-1639376578436" w:id="180"/>
      <w:bookmarkEnd w:id="180"/>
    </w:p>
    <w:p>
      <w:pPr>
        <w:pStyle w:val="2"/>
        <w:spacing w:line="322" w:lineRule="auto" w:before="0" w:after="0"/>
        <w:jc w:val="both"/>
      </w:pPr>
      <w:bookmarkStart w:name="HqUg-1659162199538" w:id="181"/>
      <w:bookmarkEnd w:id="181"/>
      <w:r>
        <w:rPr>
          <w:rFonts w:ascii="微软雅黑" w:hAnsi="微软雅黑" w:cs="微软雅黑" w:eastAsia="微软雅黑"/>
          <w:b w:val="true"/>
          <w:color w:val="000000"/>
          <w:sz w:val="30"/>
          <w:highlight w:val="white"/>
        </w:rPr>
        <w:t>影子银行</w:t>
      </w:r>
    </w:p>
    <w:p>
      <w:pPr>
        <w:spacing w:line="322" w:lineRule="auto"/>
        <w:jc w:val="both"/>
      </w:pPr>
      <w:bookmarkStart w:name="mge1-1639397000113" w:id="182"/>
      <w:bookmarkEnd w:id="182"/>
      <w:r>
        <w:rPr>
          <w:color w:val="000000"/>
          <w:sz w:val="24"/>
        </w:rPr>
        <w:t>影子银行一般的2大特征：</w:t>
      </w:r>
    </w:p>
    <w:p>
      <w:pPr>
        <w:spacing w:line="322" w:lineRule="auto"/>
        <w:jc w:val="both"/>
      </w:pPr>
      <w:bookmarkStart w:name="6833-1614479442454" w:id="183"/>
      <w:bookmarkEnd w:id="183"/>
      <w:r>
        <w:rPr>
          <w:color w:val="000000"/>
          <w:sz w:val="24"/>
          <w:highlight w:val="white"/>
        </w:rPr>
        <w:t>1、从事类似银行的业务</w:t>
      </w:r>
    </w:p>
    <w:p>
      <w:pPr>
        <w:spacing w:line="322" w:lineRule="auto"/>
        <w:jc w:val="both"/>
      </w:pPr>
      <w:bookmarkStart w:name="7870-1614479456525" w:id="184"/>
      <w:bookmarkEnd w:id="184"/>
      <w:r>
        <w:rPr>
          <w:color w:val="000000"/>
          <w:sz w:val="24"/>
          <w:highlight w:val="white"/>
        </w:rPr>
        <w:t>2、游离于银行监管体系外</w:t>
      </w:r>
    </w:p>
    <w:p>
      <w:pPr>
        <w:spacing w:line="322" w:lineRule="auto"/>
        <w:ind w:firstLine="0"/>
        <w:jc w:val="both"/>
      </w:pPr>
      <w:bookmarkStart w:name="5088-1614479844721" w:id="185"/>
      <w:bookmarkEnd w:id="185"/>
      <w:r>
        <w:rPr>
          <w:color w:val="000000"/>
          <w:sz w:val="24"/>
          <w:highlight w:val="white"/>
        </w:rPr>
        <w:t>中国影子银行主要包括信托公司、担保公司、典当行、货币市场基金、各类私募基金、小额贷款公司以及各类金融机构理财等外表业务等。</w:t>
      </w:r>
    </w:p>
    <w:p>
      <w:pPr>
        <w:spacing w:line="322" w:lineRule="auto"/>
        <w:ind w:firstLine="0"/>
        <w:jc w:val="both"/>
      </w:pPr>
      <w:bookmarkStart w:name="Hi9s-1639397174098" w:id="186"/>
      <w:bookmarkEnd w:id="186"/>
    </w:p>
    <w:p>
      <w:pPr>
        <w:pStyle w:val="2"/>
        <w:spacing w:line="240" w:lineRule="auto" w:before="0" w:after="0"/>
        <w:ind w:firstLine="0"/>
        <w:jc w:val="both"/>
      </w:pPr>
      <w:bookmarkStart w:name="e9Rb-1659161981977" w:id="187"/>
      <w:bookmarkEnd w:id="187"/>
      <w:r>
        <w:rPr>
          <w:rFonts w:ascii="微软雅黑" w:hAnsi="微软雅黑" w:cs="微软雅黑" w:eastAsia="微软雅黑"/>
          <w:b w:val="true"/>
          <w:color w:val="000000"/>
          <w:sz w:val="30"/>
        </w:rPr>
        <w:t>金融牌照</w:t>
      </w:r>
    </w:p>
    <w:p>
      <w:pPr>
        <w:spacing w:line="322" w:lineRule="auto"/>
        <w:jc w:val="both"/>
      </w:pPr>
      <w:bookmarkStart w:name="j4WS-1639828973144" w:id="188"/>
      <w:bookmarkEnd w:id="188"/>
      <w:r>
        <w:rPr>
          <w:sz w:val="24"/>
        </w:rPr>
        <w:t>1、什么是金融牌照？</w:t>
      </w:r>
    </w:p>
    <w:p>
      <w:pPr>
        <w:spacing w:line="322" w:lineRule="auto"/>
        <w:ind w:firstLine="0"/>
        <w:jc w:val="both"/>
      </w:pPr>
      <w:bookmarkStart w:name="sAGB-1626598318646" w:id="189"/>
      <w:bookmarkEnd w:id="189"/>
      <w:r>
        <w:rPr>
          <w:sz w:val="24"/>
        </w:rPr>
        <w:t>金融牌照，即金融机构经营许可证，是批准金融机构开展业务的正式文件。目前金融许可证由银监会、证监会和保监会等部门分别颁发。金融监管根据时段划分为事前监管、事中监管、事后监管，市场准入制度是事前监管的核心，金融许可证则是市场准入制度的常态表现。（这个并没有什么卵用）</w:t>
      </w:r>
    </w:p>
    <w:p>
      <w:pPr>
        <w:spacing w:line="322" w:lineRule="auto"/>
        <w:jc w:val="both"/>
      </w:pPr>
      <w:bookmarkStart w:name="3N9y-1626598318646" w:id="190"/>
      <w:bookmarkEnd w:id="190"/>
      <w:r>
        <w:rPr>
          <w:sz w:val="24"/>
        </w:rPr>
        <w:t>2、金融牌照种类</w:t>
      </w:r>
    </w:p>
    <w:p>
      <w:pPr>
        <w:spacing w:line="322" w:lineRule="auto"/>
        <w:ind w:firstLine="0"/>
        <w:jc w:val="both"/>
      </w:pPr>
      <w:bookmarkStart w:name="0SSo-1626598318646" w:id="191"/>
      <w:bookmarkEnd w:id="191"/>
      <w:r>
        <w:rPr>
          <w:sz w:val="24"/>
        </w:rPr>
        <w:t>在我国需要审批的金融牌照主要包括银行、保险、信托、券商、金融租赁、期货、基金、基金子公司、基金销售、第三方支付牌照、小额贷款、典当12种。</w:t>
      </w:r>
    </w:p>
    <w:p>
      <w:pPr>
        <w:spacing w:line="322" w:lineRule="auto"/>
        <w:ind w:firstLine="0"/>
        <w:jc w:val="both"/>
      </w:pPr>
      <w:bookmarkStart w:name="rSU9-1638357692359" w:id="192"/>
      <w:bookmarkEnd w:id="192"/>
      <w:r>
        <w:rPr>
          <w:sz w:val="24"/>
        </w:rPr>
        <w:t>持牌金融机构是指国家金融管理部门批准设立并颁发许可证的金融机构。</w:t>
      </w:r>
    </w:p>
    <w:p>
      <w:pPr>
        <w:spacing w:line="322" w:lineRule="auto"/>
        <w:jc w:val="both"/>
      </w:pPr>
      <w:bookmarkStart w:name="0EbL-1638357720124" w:id="193"/>
      <w:bookmarkEnd w:id="193"/>
      <w:r>
        <w:rPr>
          <w:sz w:val="24"/>
        </w:rPr>
        <w:t>目前，金融机构持牌的牌照分为银行牌照、信托牌照、金融租赁牌照、第三方支付牌照、公募基金牌照、基金子公司牌照、基金销售牌照、基金销售支付牌照、券商牌照、期货牌照、保险牌照、融资租赁牌照、典当牌照、小额贷款公司牌照、互联网小贷公司牌照、融资担保公司牌照。</w:t>
      </w:r>
    </w:p>
    <w:p>
      <w:pPr>
        <w:spacing w:line="322" w:lineRule="auto"/>
        <w:jc w:val="both"/>
      </w:pPr>
      <w:bookmarkStart w:name="tfHj-1638357721549" w:id="194"/>
      <w:bookmarkEnd w:id="194"/>
      <w:r>
        <w:rPr>
          <w:sz w:val="24"/>
        </w:rPr>
        <w:t>其中，归属证监会发放的金融牌照有基金子公司牌照、基金销售牌照、基金销售支付牌照、券商牌照、公募基金牌照、期货牌照，归属银监会发放的金融牌照有银行牌照、信托牌照、金融租赁牌照，归属于保监会发放的金融牌照有保险牌照，归属于中国人民银行发放的金融牌照有第三方支付牌照，归属于其他机关审批的金融牌照有融资租赁牌照、典当牌照、小额贷款公司牌照、互联网小贷公司牌照、融资担保公司牌照。</w:t>
      </w:r>
    </w:p>
    <w:p>
      <w:pPr>
        <w:spacing w:line="322" w:lineRule="auto"/>
        <w:jc w:val="both"/>
      </w:pPr>
      <w:bookmarkStart w:name="h9hE-1639829084622" w:id="195"/>
      <w:bookmarkEnd w:id="195"/>
    </w:p>
    <w:p>
      <w:pPr>
        <w:pStyle w:val="2"/>
        <w:spacing w:line="322" w:lineRule="auto" w:before="0" w:after="0"/>
        <w:jc w:val="both"/>
      </w:pPr>
      <w:bookmarkStart w:name="ThNQ-1659161948339" w:id="196"/>
      <w:bookmarkEnd w:id="196"/>
      <w:r>
        <w:rPr>
          <w:rFonts w:ascii="微软雅黑" w:hAnsi="微软雅黑" w:cs="微软雅黑" w:eastAsia="微软雅黑"/>
          <w:b w:val="true"/>
          <w:color w:val="000000"/>
          <w:sz w:val="30"/>
        </w:rPr>
        <w:t>降准</w:t>
      </w:r>
    </w:p>
    <w:p>
      <w:pPr>
        <w:spacing w:line="313" w:lineRule="auto"/>
        <w:jc w:val="both"/>
      </w:pPr>
      <w:bookmarkStart w:name="llmH-1639829084777" w:id="197"/>
      <w:bookmarkEnd w:id="197"/>
      <w:r>
        <w:rPr>
          <w:sz w:val="24"/>
        </w:rPr>
        <w:t>降准：</w:t>
      </w:r>
      <w:r>
        <w:rPr>
          <w:rFonts w:ascii="Arial" w:hAnsi="Arial" w:cs="Arial" w:eastAsia="Arial"/>
          <w:color w:val="333333"/>
          <w:sz w:val="24"/>
          <w:highlight w:val="white"/>
        </w:rPr>
        <w:t>央行货币出行的政策。用以</w:t>
      </w:r>
      <w:r>
        <w:rPr>
          <w:rFonts w:ascii="Arial" w:hAnsi="Arial" w:cs="Arial" w:eastAsia="Arial"/>
          <w:color w:val="333333"/>
          <w:sz w:val="24"/>
          <w:highlight w:val="white"/>
        </w:rPr>
        <w:t>降低存款准备金率</w:t>
      </w:r>
      <w:r>
        <w:rPr>
          <w:rFonts w:ascii="Arial" w:hAnsi="Arial" w:cs="Arial" w:eastAsia="Arial"/>
          <w:color w:val="333333"/>
          <w:sz w:val="24"/>
          <w:highlight w:val="white"/>
        </w:rPr>
        <w:t>，表明流动性开始。降准是央行</w:t>
      </w:r>
      <w:hyperlink r:id="rId34">
        <w:r>
          <w:rPr>
            <w:color w:val="003884"/>
            <w:sz w:val="24"/>
          </w:rPr>
          <w:t>货币</w:t>
        </w:r>
      </w:hyperlink>
      <w:r>
        <w:rPr>
          <w:rFonts w:ascii="Arial" w:hAnsi="Arial" w:cs="Arial" w:eastAsia="Arial"/>
          <w:color w:val="333333"/>
          <w:sz w:val="24"/>
          <w:highlight w:val="white"/>
        </w:rPr>
        <w:t>政策之一。央行降低</w:t>
      </w:r>
      <w:hyperlink r:id="rId35">
        <w:r>
          <w:rPr>
            <w:color w:val="003884"/>
            <w:sz w:val="24"/>
          </w:rPr>
          <w:t>法定存款准备金率</w:t>
        </w:r>
      </w:hyperlink>
      <w:r>
        <w:rPr>
          <w:rFonts w:ascii="Arial" w:hAnsi="Arial" w:cs="Arial" w:eastAsia="Arial"/>
          <w:color w:val="333333"/>
          <w:sz w:val="24"/>
          <w:highlight w:val="white"/>
        </w:rPr>
        <w:t>，影响银行可贷资金数量从而增大信贷规模，提高货币供应量，释放流动性，刺激经济增长。</w:t>
      </w:r>
    </w:p>
    <w:p>
      <w:pPr>
        <w:spacing w:line="313" w:lineRule="auto"/>
        <w:jc w:val="both"/>
      </w:pPr>
      <w:bookmarkStart w:name="Mpe4-1639829198317" w:id="198"/>
      <w:bookmarkEnd w:id="198"/>
    </w:p>
    <w:p>
      <w:pPr>
        <w:pStyle w:val="2"/>
        <w:spacing w:line="313" w:lineRule="auto" w:before="0" w:after="0"/>
        <w:jc w:val="both"/>
      </w:pPr>
      <w:bookmarkStart w:name="jbcd-1659161948340" w:id="199"/>
      <w:bookmarkEnd w:id="199"/>
      <w:r>
        <w:rPr>
          <w:rFonts w:ascii="微软雅黑" w:hAnsi="微软雅黑" w:cs="微软雅黑" w:eastAsia="微软雅黑"/>
          <w:b w:val="true"/>
          <w:color w:val="000000"/>
          <w:sz w:val="24"/>
        </w:rPr>
        <w:t>七日年化收益率和年利率</w:t>
      </w:r>
    </w:p>
    <w:p>
      <w:pPr>
        <w:spacing w:line="320" w:lineRule="auto"/>
      </w:pPr>
      <w:bookmarkStart w:name="rrkt-1639829198464" w:id="200"/>
      <w:bookmarkEnd w:id="200"/>
      <w:r>
        <w:rPr>
          <w:color w:val="121212"/>
          <w:sz w:val="24"/>
          <w:highlight w:val="white"/>
        </w:rPr>
        <w:t>七天年化收益率和年利率，区别是什么？</w:t>
      </w:r>
      <w:hyperlink r:id="rId36">
        <w:r>
          <w:rPr>
            <w:color w:val="003884"/>
            <w:sz w:val="24"/>
            <w:u w:val="single"/>
          </w:rPr>
          <w:t>https://www.zhihu.com/question/22688887</w:t>
        </w:r>
      </w:hyperlink>
    </w:p>
    <w:p>
      <w:pPr>
        <w:spacing w:line="320" w:lineRule="auto"/>
        <w:jc w:val="both"/>
      </w:pPr>
      <w:bookmarkStart w:name="5461-1625276851261" w:id="201"/>
      <w:bookmarkEnd w:id="201"/>
    </w:p>
    <w:p>
      <w:pPr>
        <w:spacing w:line="320" w:lineRule="auto"/>
        <w:jc w:val="both"/>
      </w:pPr>
      <w:bookmarkStart w:name="vXIF-1639829185652" w:id="202"/>
      <w:bookmarkEnd w:id="202"/>
      <w:r>
        <w:rPr>
          <w:b w:val="true"/>
          <w:color w:val="000000"/>
          <w:sz w:val="24"/>
        </w:rPr>
        <w:t>七天年化收益率</w:t>
      </w:r>
    </w:p>
    <w:p>
      <w:pPr>
        <w:spacing w:line="320" w:lineRule="auto"/>
        <w:ind w:firstLine="0"/>
        <w:jc w:val="both"/>
      </w:pPr>
      <w:bookmarkStart w:name="2767-1625276522412" w:id="203"/>
      <w:bookmarkEnd w:id="203"/>
      <w:r>
        <w:rPr>
          <w:sz w:val="24"/>
        </w:rPr>
        <w:t>指将货币基金过去7天所获的总收益进行年化计算之后得出的数据。具体的操作方法是将7天的总收益率除以7，得到过去7天的平均日收益率，再乘上365天，得到七日年化收益率。</w:t>
      </w:r>
    </w:p>
    <w:p>
      <w:pPr>
        <w:spacing w:line="320" w:lineRule="auto"/>
        <w:ind w:firstLine="0"/>
        <w:jc w:val="both"/>
      </w:pPr>
      <w:bookmarkStart w:name="6641-1625276522412" w:id="204"/>
      <w:bookmarkEnd w:id="204"/>
      <w:r>
        <w:rPr>
          <w:sz w:val="24"/>
        </w:rPr>
        <w:t>公式：七日年化收益率 = 七日总收益率（%）/ 7 x 365</w:t>
      </w:r>
    </w:p>
    <w:p>
      <w:pPr>
        <w:spacing w:line="320" w:lineRule="auto"/>
        <w:ind w:firstLine="0"/>
        <w:jc w:val="both"/>
      </w:pPr>
      <w:bookmarkStart w:name="3930-1625276522412" w:id="205"/>
      <w:bookmarkEnd w:id="205"/>
      <w:r>
        <w:rPr>
          <w:sz w:val="24"/>
        </w:rPr>
        <w:t>举个例子，某货币基金过去7天总获得0.07%的收益率，那么过去7天每天平均产生的收益率为0.01%（即万分之一），七天年化收益率也就是3.65%（0.07%/7x365）</w:t>
      </w:r>
    </w:p>
    <w:p>
      <w:pPr>
        <w:spacing w:line="320" w:lineRule="auto"/>
        <w:ind w:firstLine="0"/>
        <w:jc w:val="both"/>
      </w:pPr>
      <w:bookmarkStart w:name="6328-1625276522412" w:id="206"/>
      <w:bookmarkEnd w:id="206"/>
      <w:r>
        <w:rPr>
          <w:sz w:val="24"/>
        </w:rPr>
        <w:t>作为一个直观的收益指标，七天年化收益率是投资者选择投资基金的重要指标，平时大家看到的存款利率、理财产品、逆回购等金融产品也多采用了年化收益率作为计价方式。</w:t>
      </w:r>
    </w:p>
    <w:p>
      <w:pPr>
        <w:spacing w:line="320" w:lineRule="auto"/>
        <w:jc w:val="both"/>
      </w:pPr>
      <w:bookmarkStart w:name="2049-1625276522412" w:id="207"/>
      <w:bookmarkEnd w:id="207"/>
    </w:p>
    <w:p>
      <w:pPr>
        <w:spacing w:line="320" w:lineRule="auto"/>
        <w:jc w:val="both"/>
      </w:pPr>
      <w:bookmarkStart w:name="5358-1625276539323" w:id="208"/>
      <w:bookmarkEnd w:id="208"/>
      <w:r>
        <w:rPr>
          <w:b w:val="true"/>
          <w:color w:val="000000"/>
          <w:sz w:val="24"/>
        </w:rPr>
        <w:t>年利率</w:t>
      </w:r>
    </w:p>
    <w:p>
      <w:pPr>
        <w:spacing w:line="320" w:lineRule="auto"/>
        <w:ind w:firstLine="0"/>
        <w:jc w:val="both"/>
      </w:pPr>
      <w:bookmarkStart w:name="9319-1625276539323" w:id="209"/>
      <w:bookmarkEnd w:id="209"/>
      <w:r>
        <w:rPr>
          <w:sz w:val="24"/>
        </w:rPr>
        <w:t>利率，是指一定期限内利息额与本金的比率，一般分为年利率、月利率和日利率三种。</w:t>
      </w:r>
    </w:p>
    <w:p>
      <w:pPr>
        <w:spacing w:line="320" w:lineRule="auto"/>
        <w:ind w:firstLine="0"/>
        <w:jc w:val="both"/>
      </w:pPr>
      <w:bookmarkStart w:name="3752-1625276539323" w:id="210"/>
      <w:bookmarkEnd w:id="210"/>
      <w:r>
        <w:rPr>
          <w:sz w:val="24"/>
        </w:rPr>
        <w:t>而年利率就是指以一年（365天）为计息周期计算的利息额与本金的比率。</w:t>
      </w:r>
    </w:p>
    <w:p>
      <w:pPr>
        <w:spacing w:line="320" w:lineRule="auto"/>
        <w:ind w:firstLine="0"/>
        <w:jc w:val="both"/>
      </w:pPr>
      <w:bookmarkStart w:name="1885-1625276539323" w:id="211"/>
      <w:bookmarkEnd w:id="211"/>
      <w:r>
        <w:rPr>
          <w:sz w:val="24"/>
        </w:rPr>
        <w:t>公式：年利率 = 一年期利息 ÷ 本金 × 100%</w:t>
      </w:r>
    </w:p>
    <w:p>
      <w:pPr>
        <w:spacing w:line="320" w:lineRule="auto"/>
        <w:ind w:firstLine="0"/>
        <w:jc w:val="both"/>
      </w:pPr>
      <w:bookmarkStart w:name="6233-1625276539323" w:id="212"/>
      <w:bookmarkEnd w:id="212"/>
      <w:r>
        <w:rPr>
          <w:sz w:val="24"/>
        </w:rPr>
        <w:t>再举个例子，小明将100元的本金存入银行，若XX银行答应的年利率为3.5%，那么一年之后除了本金之外，小明可以获得3.5元的利息。</w:t>
      </w:r>
    </w:p>
    <w:p>
      <w:pPr>
        <w:spacing w:line="320" w:lineRule="auto"/>
        <w:ind w:firstLine="0"/>
        <w:jc w:val="both"/>
      </w:pPr>
      <w:bookmarkStart w:name="2327-1625276539323" w:id="213"/>
      <w:bookmarkEnd w:id="213"/>
      <w:r>
        <w:rPr>
          <w:sz w:val="24"/>
        </w:rPr>
        <w:t>在搞清楚它们的概念之后，「七天年化收益率」和「年利率」有什么区别呢？</w:t>
      </w:r>
    </w:p>
    <w:p>
      <w:pPr>
        <w:spacing w:line="320" w:lineRule="auto"/>
        <w:ind w:firstLine="0"/>
        <w:jc w:val="both"/>
      </w:pPr>
      <w:bookmarkStart w:name="9081-1625276553935" w:id="214"/>
      <w:bookmarkEnd w:id="214"/>
      <w:r>
        <w:rPr>
          <w:sz w:val="24"/>
        </w:rPr>
        <w:t>对于投资者而言，它们最大的区别就在于， 在一年之中年利率是“所见即所得”的 ，而七天年化收益率则是“所见并非所得”。</w:t>
      </w:r>
    </w:p>
    <w:p>
      <w:pPr>
        <w:spacing w:line="320" w:lineRule="auto"/>
        <w:ind w:firstLine="0"/>
        <w:jc w:val="both"/>
      </w:pPr>
      <w:bookmarkStart w:name="2727-1625276553935" w:id="215"/>
      <w:bookmarkEnd w:id="215"/>
      <w:r>
        <w:rPr>
          <w:sz w:val="24"/>
        </w:rPr>
        <w:t>年利率在一年之中是固定不变的，也就是所见即所得。即投资者在投入本金时看到的年利率，也就是其一年后所获的收益。</w:t>
      </w:r>
    </w:p>
    <w:p>
      <w:pPr>
        <w:spacing w:line="320" w:lineRule="auto"/>
        <w:ind w:firstLine="0"/>
        <w:jc w:val="both"/>
      </w:pPr>
      <w:bookmarkStart w:name="7327-1625276553935" w:id="216"/>
      <w:bookmarkEnd w:id="216"/>
      <w:r>
        <w:rPr>
          <w:sz w:val="24"/>
        </w:rPr>
        <w:t>而对七天年化收益率而言，它的缺点就是所见并非所得。即七日年化收益率并非等于实际收益。</w:t>
      </w:r>
    </w:p>
    <w:p>
      <w:pPr>
        <w:spacing w:line="320" w:lineRule="auto"/>
        <w:ind w:firstLine="0"/>
        <w:jc w:val="both"/>
      </w:pPr>
      <w:bookmarkStart w:name="9215-1625276553935" w:id="217"/>
      <w:bookmarkEnd w:id="217"/>
      <w:r>
        <w:rPr>
          <w:sz w:val="24"/>
        </w:rPr>
        <w:t>七天年化收益率是把基金过去7天的收益率考虑在内，并进行年化以后算出的指标。举例来说，若小明投资的XX基金显示当日该基金的七天年化收益率为3.5%，假设之后整年收益率按照这一标准不变，那么小明获得的整年收益也是3.5%。</w:t>
      </w:r>
    </w:p>
    <w:p>
      <w:pPr>
        <w:spacing w:line="320" w:lineRule="auto"/>
        <w:ind w:firstLine="0"/>
        <w:jc w:val="both"/>
      </w:pPr>
      <w:bookmarkStart w:name="9611-1625276553935" w:id="218"/>
      <w:bookmarkEnd w:id="218"/>
      <w:r>
        <w:rPr>
          <w:sz w:val="24"/>
        </w:rPr>
        <w:t>通过这种方法计算得出的七天年化收益率，存在这样一个缺点——每日实际收益水平可能会低于或高于平均收益水平。</w:t>
      </w:r>
    </w:p>
    <w:p>
      <w:pPr>
        <w:spacing w:line="320" w:lineRule="auto"/>
        <w:ind w:firstLine="0"/>
        <w:jc w:val="both"/>
      </w:pPr>
      <w:bookmarkStart w:name="7653-1625276553935" w:id="219"/>
      <w:bookmarkEnd w:id="219"/>
      <w:r>
        <w:rPr>
          <w:sz w:val="24"/>
        </w:rPr>
        <w:t>在这7天内若某一日的单日收益特别高，会使得这一日前后7天呈现出一个非常高的七日年化收益率。也就是说若投资者在释放收益这天之后买入，后续几天虽然看起来七日年化收益率很高，但实际进入投资者口袋的收益却有可能非常一般。</w:t>
      </w:r>
    </w:p>
    <w:p>
      <w:pPr>
        <w:spacing w:line="320" w:lineRule="auto"/>
        <w:ind w:firstLine="0"/>
        <w:jc w:val="both"/>
      </w:pPr>
      <w:bookmarkStart w:name="lA2A-1639829297046" w:id="220"/>
      <w:bookmarkEnd w:id="220"/>
    </w:p>
    <w:p>
      <w:pPr>
        <w:spacing w:line="320" w:lineRule="auto"/>
        <w:ind w:firstLine="0"/>
        <w:jc w:val="both"/>
      </w:pPr>
      <w:bookmarkStart w:name="iOaW-1639829301096" w:id="221"/>
      <w:bookmarkEnd w:id="221"/>
    </w:p>
    <w:p>
      <w:pPr>
        <w:pStyle w:val="2"/>
        <w:spacing w:line="313" w:lineRule="auto" w:before="0" w:after="0"/>
        <w:jc w:val="both"/>
      </w:pPr>
      <w:bookmarkStart w:name="J9cG-1659161948342" w:id="222"/>
      <w:bookmarkEnd w:id="222"/>
      <w:r>
        <w:rPr>
          <w:rFonts w:ascii="微软雅黑" w:hAnsi="微软雅黑" w:cs="微软雅黑" w:eastAsia="微软雅黑"/>
          <w:b w:val="true"/>
          <w:color w:val="000000"/>
          <w:sz w:val="30"/>
        </w:rPr>
        <w:t>投行</w:t>
      </w:r>
    </w:p>
    <w:p>
      <w:pPr>
        <w:ind w:firstLine="0"/>
        <w:jc w:val="both"/>
      </w:pPr>
      <w:bookmarkStart w:name="a0Hh-1641012403475" w:id="223"/>
      <w:bookmarkEnd w:id="223"/>
      <w:r>
        <w:rPr>
          <w:color w:val="333333"/>
          <w:sz w:val="24"/>
          <w:highlight w:val="white"/>
        </w:rPr>
        <w:t>什么是投行？</w:t>
      </w:r>
      <w:hyperlink r:id="rId37">
        <w:r>
          <w:rPr>
            <w:color w:val="333333"/>
            <w:sz w:val="24"/>
            <w:highlight w:val="white"/>
          </w:rPr>
          <w:t>https://www.zhihu.com/question/19621735</w:t>
        </w:r>
      </w:hyperlink>
    </w:p>
    <w:p>
      <w:pPr>
        <w:spacing w:line="320" w:lineRule="auto"/>
        <w:ind w:firstLine="0"/>
        <w:jc w:val="both"/>
      </w:pPr>
      <w:bookmarkStart w:name="YrCA-1640416343953" w:id="224"/>
      <w:bookmarkEnd w:id="224"/>
      <w:r>
        <w:rPr>
          <w:color w:val="333333"/>
          <w:sz w:val="24"/>
          <w:highlight w:val="white"/>
        </w:rPr>
        <w:t>四大投行一般是指美林、</w:t>
      </w:r>
      <w:hyperlink r:id="rId38">
        <w:r>
          <w:rPr>
            <w:color w:val="136ec2"/>
            <w:sz w:val="24"/>
            <w:highlight w:val="white"/>
          </w:rPr>
          <w:t>摩根</w:t>
        </w:r>
      </w:hyperlink>
      <w:r>
        <w:rPr>
          <w:color w:val="333333"/>
          <w:sz w:val="24"/>
          <w:highlight w:val="white"/>
        </w:rPr>
        <w:t>士丹利、高盛、花旗。</w:t>
      </w:r>
    </w:p>
    <w:p>
      <w:pPr>
        <w:spacing w:line="320" w:lineRule="auto"/>
        <w:ind w:firstLine="0"/>
        <w:jc w:val="both"/>
      </w:pPr>
      <w:bookmarkStart w:name="5452-1592269554193" w:id="225"/>
      <w:bookmarkEnd w:id="225"/>
      <w:r>
        <w:rPr>
          <w:color w:val="333333"/>
          <w:sz w:val="24"/>
          <w:highlight w:val="white"/>
        </w:rPr>
        <w:t>投资银行是证券和股份公司制度发展到特定阶段的产物，是发达</w:t>
      </w:r>
      <w:hyperlink r:id="rId39">
        <w:r>
          <w:rPr>
            <w:color w:val="136ec2"/>
            <w:sz w:val="24"/>
            <w:highlight w:val="white"/>
          </w:rPr>
          <w:t>证券市场</w:t>
        </w:r>
      </w:hyperlink>
      <w:r>
        <w:rPr>
          <w:color w:val="333333"/>
          <w:sz w:val="24"/>
          <w:highlight w:val="white"/>
        </w:rPr>
        <w:t>和成熟金融体系的重要主体，在现代社会经济发展中发挥着沟通资金供求、构造证券市场、推动企业并购、促进产业集中和规模经济形成、</w:t>
      </w:r>
      <w:hyperlink r:id="rId40">
        <w:r>
          <w:rPr>
            <w:color w:val="136ec2"/>
            <w:sz w:val="24"/>
            <w:highlight w:val="white"/>
          </w:rPr>
          <w:t>优化资源配置</w:t>
        </w:r>
      </w:hyperlink>
      <w:r>
        <w:rPr>
          <w:color w:val="333333"/>
          <w:sz w:val="24"/>
          <w:highlight w:val="white"/>
        </w:rPr>
        <w:t>等重要作用。</w:t>
      </w:r>
    </w:p>
    <w:p>
      <w:pPr>
        <w:ind w:firstLine="0"/>
        <w:jc w:val="both"/>
      </w:pPr>
      <w:bookmarkStart w:name="7773-1623546863108" w:id="226"/>
      <w:bookmarkEnd w:id="226"/>
      <w:r>
        <w:rPr>
          <w:color w:val="333333"/>
          <w:sz w:val="24"/>
          <w:highlight w:val="white"/>
        </w:rPr>
        <w:t>投行就是金融中介机构。</w:t>
      </w:r>
    </w:p>
    <w:p>
      <w:pPr>
        <w:ind w:firstLine="0"/>
        <w:jc w:val="both"/>
      </w:pPr>
      <w:bookmarkStart w:name="2533-1623546856984" w:id="227"/>
      <w:bookmarkEnd w:id="227"/>
      <w:r>
        <w:rPr>
          <w:color w:val="333333"/>
          <w:sz w:val="24"/>
          <w:highlight w:val="white"/>
        </w:rPr>
        <w:t>投行的职责包括两大部分：第一是将企业的行业细分细分再细分，直至他们成为全球第一！第二是把简单的事情变得复杂化，把复杂的事情更复杂化，凸显投行人专业性，让发行人觉得投行辛苦花钱值，让投资者不明觉厉赶紧买！</w:t>
      </w:r>
    </w:p>
    <w:p>
      <w:pPr>
        <w:ind w:firstLine="0"/>
        <w:jc w:val="both"/>
      </w:pPr>
      <w:bookmarkStart w:name="2761-1623546478907" w:id="228"/>
      <w:bookmarkEnd w:id="228"/>
      <w:r>
        <w:rPr>
          <w:color w:val="333333"/>
          <w:sz w:val="24"/>
          <w:highlight w:val="white"/>
        </w:rPr>
        <w:t>投行是投资银行的简称，是与商业银行相对应的一类金融机构，主要从事证券发行、承销、交易、企业重组、兼并与收购、投资分析、风险投资、项目融资等业务的非银行金融机构，是资本市场上的主要金融中介。投资银行是美国和欧洲大陆的称谓，英国称之为商人银行，在日本则指证券公司。 </w:t>
      </w:r>
    </w:p>
    <w:p>
      <w:pPr>
        <w:ind w:firstLine="0"/>
        <w:jc w:val="both"/>
      </w:pPr>
      <w:bookmarkStart w:name="4047-1623546133407" w:id="229"/>
      <w:bookmarkEnd w:id="229"/>
      <w:r>
        <w:rPr>
          <w:color w:val="333333"/>
          <w:sz w:val="24"/>
          <w:highlight w:val="white"/>
        </w:rPr>
        <w:t>投行业务是一类金融机构，根据</w:t>
      </w:r>
      <w:hyperlink r:id="rId41">
        <w:r>
          <w:rPr>
            <w:color w:val="333333"/>
            <w:sz w:val="24"/>
            <w:highlight w:val="white"/>
          </w:rPr>
          <w:t>投资银行在线</w:t>
        </w:r>
      </w:hyperlink>
      <w:r>
        <w:rPr>
          <w:color w:val="333333"/>
          <w:sz w:val="24"/>
          <w:highlight w:val="white"/>
        </w:rPr>
        <w:t>，</w:t>
      </w:r>
      <w:hyperlink r:id="rId42">
        <w:r>
          <w:rPr>
            <w:color w:val="333333"/>
            <w:sz w:val="24"/>
            <w:highlight w:val="white"/>
          </w:rPr>
          <w:t>国际投资银行</w:t>
        </w:r>
      </w:hyperlink>
      <w:r>
        <w:rPr>
          <w:color w:val="333333"/>
          <w:sz w:val="24"/>
          <w:highlight w:val="white"/>
        </w:rPr>
        <w:t>的业务包括：</w:t>
      </w:r>
      <w:hyperlink r:id="rId43">
        <w:r>
          <w:rPr>
            <w:color w:val="333333"/>
            <w:sz w:val="24"/>
            <w:highlight w:val="white"/>
          </w:rPr>
          <w:t>企业融资</w:t>
        </w:r>
      </w:hyperlink>
      <w:r>
        <w:rPr>
          <w:color w:val="333333"/>
          <w:sz w:val="24"/>
          <w:highlight w:val="white"/>
        </w:rPr>
        <w:t>，收购兼并，财务顾问等业务。投行业务是资本市场上的主要</w:t>
      </w:r>
      <w:hyperlink r:id="rId44">
        <w:r>
          <w:rPr>
            <w:color w:val="333333"/>
            <w:sz w:val="24"/>
            <w:highlight w:val="white"/>
          </w:rPr>
          <w:t>金融中介</w:t>
        </w:r>
      </w:hyperlink>
      <w:r>
        <w:rPr>
          <w:color w:val="333333"/>
          <w:sz w:val="24"/>
          <w:highlight w:val="white"/>
        </w:rPr>
        <w:t>。</w:t>
      </w:r>
    </w:p>
    <w:p>
      <w:pPr>
        <w:ind w:firstLine="0"/>
        <w:jc w:val="both"/>
      </w:pPr>
      <w:bookmarkStart w:name="Jm5e-1641012362577" w:id="230"/>
      <w:bookmarkEnd w:id="230"/>
      <w:r>
        <w:rPr>
          <w:color w:val="333333"/>
          <w:sz w:val="24"/>
          <w:highlight w:val="white"/>
        </w:rPr>
        <w:t>在中国，</w:t>
      </w:r>
      <w:hyperlink r:id="rId45">
        <w:r>
          <w:rPr>
            <w:color w:val="333333"/>
            <w:sz w:val="24"/>
            <w:highlight w:val="white"/>
          </w:rPr>
          <w:t>投资银行业务</w:t>
        </w:r>
      </w:hyperlink>
      <w:r>
        <w:rPr>
          <w:color w:val="333333"/>
          <w:sz w:val="24"/>
          <w:highlight w:val="white"/>
        </w:rPr>
        <w:t>主要包括： </w:t>
      </w:r>
      <w:hyperlink r:id="rId46">
        <w:r>
          <w:rPr>
            <w:color w:val="333333"/>
            <w:sz w:val="24"/>
            <w:highlight w:val="white"/>
          </w:rPr>
          <w:t>证券承销</w:t>
        </w:r>
      </w:hyperlink>
      <w:r>
        <w:rPr>
          <w:color w:val="333333"/>
          <w:sz w:val="24"/>
          <w:highlight w:val="white"/>
        </w:rPr>
        <w:t>、</w:t>
      </w:r>
      <w:hyperlink r:id="rId47">
        <w:r>
          <w:rPr>
            <w:color w:val="333333"/>
            <w:sz w:val="24"/>
            <w:highlight w:val="white"/>
          </w:rPr>
          <w:t>证券交易</w:t>
        </w:r>
      </w:hyperlink>
      <w:r>
        <w:rPr>
          <w:color w:val="333333"/>
          <w:sz w:val="24"/>
          <w:highlight w:val="white"/>
        </w:rPr>
        <w:t>、</w:t>
      </w:r>
      <w:hyperlink r:id="rId48">
        <w:r>
          <w:rPr>
            <w:color w:val="333333"/>
            <w:sz w:val="24"/>
            <w:highlight w:val="white"/>
          </w:rPr>
          <w:t>兼并收购</w:t>
        </w:r>
      </w:hyperlink>
      <w:r>
        <w:rPr>
          <w:color w:val="333333"/>
          <w:sz w:val="24"/>
          <w:highlight w:val="white"/>
        </w:rPr>
        <w:t>、资金管理、项目融资、</w:t>
      </w:r>
      <w:hyperlink r:id="rId49">
        <w:r>
          <w:rPr>
            <w:color w:val="333333"/>
            <w:sz w:val="24"/>
            <w:highlight w:val="white"/>
          </w:rPr>
          <w:t>风险投资</w:t>
        </w:r>
      </w:hyperlink>
      <w:r>
        <w:rPr>
          <w:color w:val="333333"/>
          <w:sz w:val="24"/>
          <w:highlight w:val="white"/>
        </w:rPr>
        <w:t>、</w:t>
      </w:r>
      <w:hyperlink r:id="rId50">
        <w:r>
          <w:rPr>
            <w:color w:val="333333"/>
            <w:sz w:val="24"/>
            <w:highlight w:val="white"/>
          </w:rPr>
          <w:t>信贷资产证券化</w:t>
        </w:r>
      </w:hyperlink>
      <w:r>
        <w:rPr>
          <w:color w:val="333333"/>
          <w:sz w:val="24"/>
          <w:highlight w:val="white"/>
        </w:rPr>
        <w:t>等。</w:t>
      </w:r>
    </w:p>
    <w:p>
      <w:pPr/>
      <w:bookmarkStart w:name="1080-1623546903094" w:id="231"/>
      <w:bookmarkEnd w:id="231"/>
      <w:r>
        <w:drawing>
          <wp:inline distT="0" distR="0" distB="0" distL="0">
            <wp:extent cx="5267325" cy="2962871"/>
            <wp:docPr id="3" name="Drawing 3" descr="截图.png"/>
            <a:graphic xmlns:a="http://schemas.openxmlformats.org/drawingml/2006/main">
              <a:graphicData uri="http://schemas.openxmlformats.org/drawingml/2006/picture">
                <pic:pic xmlns:pic="http://schemas.openxmlformats.org/drawingml/2006/picture">
                  <pic:nvPicPr>
                    <pic:cNvPr id="0" name="Picture 3" descr="截图.png"/>
                    <pic:cNvPicPr>
                      <a:picLocks noChangeAspect="true"/>
                    </pic:cNvPicPr>
                  </pic:nvPicPr>
                  <pic:blipFill>
                    <a:blip r:embed="rId51"/>
                    <a:stretch>
                      <a:fillRect/>
                    </a:stretch>
                  </pic:blipFill>
                  <pic:spPr>
                    <a:xfrm>
                      <a:off x="0" y="0"/>
                      <a:ext cx="5267325" cy="2962871"/>
                    </a:xfrm>
                    <a:prstGeom prst="rect">
                      <a:avLst/>
                    </a:prstGeom>
                  </pic:spPr>
                </pic:pic>
              </a:graphicData>
            </a:graphic>
          </wp:inline>
        </w:drawing>
      </w:r>
    </w:p>
    <w:p>
      <w:pPr>
        <w:spacing w:line="320" w:lineRule="auto"/>
      </w:pPr>
      <w:bookmarkStart w:name="8223-1623547201328" w:id="232"/>
      <w:bookmarkEnd w:id="232"/>
      <w:r>
        <w:rPr>
          <w:color w:val="333333"/>
          <w:sz w:val="24"/>
          <w:highlight w:val="white"/>
        </w:rPr>
        <w:t>四大投行一般是：美林、摩根士丹利、</w:t>
      </w:r>
      <w:hyperlink r:id="rId52">
        <w:r>
          <w:rPr>
            <w:color w:val="333333"/>
            <w:sz w:val="24"/>
            <w:highlight w:val="white"/>
          </w:rPr>
          <w:t>高盛</w:t>
        </w:r>
      </w:hyperlink>
      <w:r>
        <w:rPr>
          <w:color w:val="333333"/>
          <w:sz w:val="24"/>
          <w:highlight w:val="white"/>
        </w:rPr>
        <w:t>、</w:t>
      </w:r>
      <w:hyperlink r:id="rId53">
        <w:r>
          <w:rPr>
            <w:color w:val="333333"/>
            <w:sz w:val="24"/>
            <w:highlight w:val="white"/>
          </w:rPr>
          <w:t>花旗</w:t>
        </w:r>
      </w:hyperlink>
      <w:r>
        <w:rPr>
          <w:color w:val="333333"/>
          <w:sz w:val="24"/>
          <w:highlight w:val="white"/>
        </w:rPr>
        <w:t>。</w:t>
      </w:r>
    </w:p>
    <w:p>
      <w:pPr>
        <w:spacing w:line="320" w:lineRule="auto"/>
      </w:pPr>
      <w:bookmarkStart w:name="3010-1623547100521" w:id="233"/>
      <w:bookmarkEnd w:id="233"/>
      <w:r>
        <w:rPr>
          <w:color w:val="333333"/>
          <w:sz w:val="24"/>
          <w:highlight w:val="white"/>
        </w:rPr>
        <w:t>八大投行分别是：</w:t>
      </w:r>
    </w:p>
    <w:p>
      <w:pPr>
        <w:numPr>
          <w:ilvl w:val="0"/>
          <w:numId w:val="1"/>
        </w:numPr>
        <w:spacing w:line="320" w:lineRule="auto"/>
      </w:pPr>
      <w:bookmarkStart w:name="6194-1623547141252" w:id="234"/>
      <w:bookmarkEnd w:id="234"/>
      <w:r>
        <w:rPr>
          <w:color w:val="333333"/>
          <w:sz w:val="24"/>
          <w:highlight w:val="white"/>
        </w:rPr>
        <w:t>花旗银行（美国）</w:t>
      </w:r>
    </w:p>
    <w:p>
      <w:pPr>
        <w:numPr>
          <w:ilvl w:val="0"/>
          <w:numId w:val="1"/>
        </w:numPr>
        <w:spacing w:line="320" w:lineRule="auto"/>
      </w:pPr>
      <w:bookmarkStart w:name="5637-1623547141252" w:id="235"/>
      <w:bookmarkEnd w:id="235"/>
      <w:r>
        <w:rPr>
          <w:color w:val="333333"/>
          <w:sz w:val="24"/>
          <w:highlight w:val="white"/>
        </w:rPr>
        <w:t>德意志银行（德国）</w:t>
      </w:r>
    </w:p>
    <w:p>
      <w:pPr>
        <w:numPr>
          <w:ilvl w:val="0"/>
          <w:numId w:val="1"/>
        </w:numPr>
        <w:spacing w:line="320" w:lineRule="auto"/>
      </w:pPr>
      <w:bookmarkStart w:name="5784-1623547141252" w:id="236"/>
      <w:bookmarkEnd w:id="236"/>
      <w:r>
        <w:rPr>
          <w:color w:val="333333"/>
          <w:sz w:val="24"/>
          <w:highlight w:val="white"/>
        </w:rPr>
        <w:t>美银美林（美国）</w:t>
      </w:r>
    </w:p>
    <w:p>
      <w:pPr>
        <w:numPr>
          <w:ilvl w:val="0"/>
          <w:numId w:val="1"/>
        </w:numPr>
        <w:spacing w:line="320" w:lineRule="auto"/>
      </w:pPr>
      <w:bookmarkStart w:name="8987-1623547141252" w:id="237"/>
      <w:bookmarkEnd w:id="237"/>
      <w:r>
        <w:rPr>
          <w:color w:val="333333"/>
          <w:sz w:val="24"/>
          <w:highlight w:val="white"/>
        </w:rPr>
        <w:t>摩根大通（美国）</w:t>
      </w:r>
    </w:p>
    <w:p>
      <w:pPr>
        <w:numPr>
          <w:ilvl w:val="0"/>
          <w:numId w:val="1"/>
        </w:numPr>
        <w:spacing w:line="320" w:lineRule="auto"/>
      </w:pPr>
      <w:bookmarkStart w:name="6676-1623547141252" w:id="238"/>
      <w:bookmarkEnd w:id="238"/>
      <w:r>
        <w:rPr>
          <w:color w:val="333333"/>
          <w:sz w:val="24"/>
          <w:highlight w:val="white"/>
        </w:rPr>
        <w:t>瑞信、瑞银（瑞士）</w:t>
      </w:r>
    </w:p>
    <w:p>
      <w:pPr>
        <w:numPr>
          <w:ilvl w:val="0"/>
          <w:numId w:val="1"/>
        </w:numPr>
        <w:spacing w:line="320" w:lineRule="auto"/>
      </w:pPr>
      <w:bookmarkStart w:name="1563-1623547141252" w:id="239"/>
      <w:bookmarkEnd w:id="239"/>
      <w:r>
        <w:rPr>
          <w:color w:val="333333"/>
          <w:sz w:val="24"/>
          <w:highlight w:val="white"/>
        </w:rPr>
        <w:t>麦格理证券（澳大利亚）</w:t>
      </w:r>
    </w:p>
    <w:p>
      <w:pPr>
        <w:numPr>
          <w:ilvl w:val="0"/>
          <w:numId w:val="1"/>
        </w:numPr>
        <w:spacing w:line="320" w:lineRule="auto"/>
      </w:pPr>
      <w:bookmarkStart w:name="9781-1623547141252" w:id="240"/>
      <w:bookmarkEnd w:id="240"/>
      <w:r>
        <w:rPr>
          <w:color w:val="333333"/>
          <w:sz w:val="24"/>
          <w:highlight w:val="white"/>
        </w:rPr>
        <w:t>星展银行（新加坡）</w:t>
      </w:r>
    </w:p>
    <w:p>
      <w:pPr/>
      <w:bookmarkStart w:name="7pC9-1659162225126" w:id="241"/>
      <w:bookmarkEnd w:id="241"/>
    </w:p>
    <w:p>
      <w:pPr>
        <w:pStyle w:val="2"/>
        <w:spacing w:line="240" w:lineRule="auto" w:before="0" w:after="0"/>
      </w:pPr>
      <w:bookmarkStart w:name="YUCA-1659162225888" w:id="242"/>
      <w:bookmarkEnd w:id="242"/>
      <w:r>
        <w:rPr>
          <w:rFonts w:ascii="微软雅黑" w:hAnsi="微软雅黑" w:cs="微软雅黑" w:eastAsia="微软雅黑"/>
          <w:b w:val="true"/>
          <w:color w:val="000000"/>
          <w:sz w:val="30"/>
        </w:rPr>
        <w:t>印花税</w:t>
      </w:r>
    </w:p>
    <w:p>
      <w:pPr>
        <w:spacing w:line="420" w:lineRule="auto"/>
        <w:ind w:firstLine="0"/>
        <w:jc w:val="both"/>
      </w:pPr>
      <w:bookmarkStart w:name="eQOH-1639392550027" w:id="243"/>
      <w:bookmarkEnd w:id="243"/>
      <w:r>
        <w:rPr>
          <w:color w:val="000000"/>
          <w:sz w:val="24"/>
          <w:highlight w:val="white"/>
        </w:rPr>
        <w:t>印花税是对经济活动和经济交往中订立、领受具有法律效力的凭证的行为所征收的一种税，因采用在应税凭证上粘贴印花税票作为完税的标志而得名。 它可以由纳税人按规定应税的比例和定额，自行购买并粘贴印花税票，或委托代征，税务机关经由发放或者办理应税凭证的单位代为征收。国家税收的一种，各项契约、凭证等须按税法贴政府有关部门发售的印花。</w:t>
      </w:r>
    </w:p>
    <w:p>
      <w:pPr>
        <w:spacing w:line="420" w:lineRule="auto"/>
        <w:ind w:firstLine="0"/>
        <w:jc w:val="both"/>
      </w:pPr>
      <w:bookmarkStart w:name="8SS5-1639408858086" w:id="244"/>
      <w:bookmarkEnd w:id="244"/>
      <w:r>
        <w:rPr>
          <w:color w:val="121212"/>
          <w:sz w:val="24"/>
          <w:highlight w:val="white"/>
        </w:rPr>
        <w:t>税收是的本质是调节。</w:t>
      </w:r>
    </w:p>
    <w:p>
      <w:pPr>
        <w:spacing w:line="420" w:lineRule="auto"/>
        <w:ind w:firstLine="0"/>
        <w:jc w:val="both"/>
      </w:pPr>
      <w:bookmarkStart w:name="16I3-1639392582033" w:id="245"/>
      <w:bookmarkEnd w:id="245"/>
    </w:p>
    <w:p>
      <w:pPr>
        <w:pStyle w:val="2"/>
        <w:spacing w:line="240" w:lineRule="auto" w:before="0" w:after="0"/>
      </w:pPr>
      <w:bookmarkStart w:name="zKu9-1639392687224" w:id="246"/>
      <w:bookmarkEnd w:id="246"/>
      <w:r>
        <w:rPr>
          <w:rFonts w:ascii="微软雅黑" w:hAnsi="微软雅黑" w:cs="微软雅黑" w:eastAsia="微软雅黑"/>
          <w:b w:val="true"/>
          <w:sz w:val="30"/>
        </w:rPr>
        <w:t>投资标的</w:t>
      </w:r>
    </w:p>
    <w:p>
      <w:pPr>
        <w:spacing w:line="313" w:lineRule="auto"/>
        <w:ind w:firstLine="0"/>
      </w:pPr>
      <w:bookmarkStart w:name="FwuD-1639392692990" w:id="247"/>
      <w:bookmarkEnd w:id="247"/>
      <w:r>
        <w:rPr>
          <w:sz w:val="24"/>
        </w:rPr>
        <w:t>投资标的可以</w:t>
      </w:r>
      <w:r>
        <w:rPr>
          <w:color w:val="121212"/>
          <w:sz w:val="24"/>
          <w:highlight w:val="white"/>
        </w:rPr>
        <w:t>理解成“领域” “投资对象”。</w:t>
      </w:r>
    </w:p>
    <w:p>
      <w:pPr>
        <w:spacing w:line="313" w:lineRule="auto"/>
        <w:ind w:firstLine="0"/>
      </w:pPr>
      <w:bookmarkStart w:name="F3lg-1639392718567" w:id="248"/>
      <w:bookmarkEnd w:id="248"/>
    </w:p>
    <w:p>
      <w:pPr>
        <w:pStyle w:val="2"/>
        <w:spacing w:line="313" w:lineRule="auto" w:before="0" w:after="0"/>
        <w:ind w:firstLine="0"/>
      </w:pPr>
      <w:bookmarkStart w:name="NsSZ-1641012071318" w:id="249"/>
      <w:bookmarkEnd w:id="249"/>
      <w:r>
        <w:rPr>
          <w:rFonts w:ascii="微软雅黑" w:hAnsi="微软雅黑" w:cs="微软雅黑" w:eastAsia="微软雅黑"/>
          <w:b w:val="true"/>
          <w:color w:val="000000"/>
          <w:sz w:val="30"/>
        </w:rPr>
        <w:t>同比和环比</w:t>
      </w:r>
    </w:p>
    <w:p>
      <w:pPr>
        <w:spacing w:line="420" w:lineRule="auto"/>
        <w:ind w:firstLine="0"/>
        <w:jc w:val="both"/>
      </w:pPr>
      <w:bookmarkStart w:name="93cQ-1639392719247" w:id="250"/>
      <w:bookmarkEnd w:id="250"/>
      <w:r>
        <w:rPr>
          <w:color w:val="333333"/>
          <w:sz w:val="24"/>
          <w:highlight w:val="white"/>
        </w:rPr>
        <w:t>同比和环比，这两者所反映的虽然都是变化速度，但由于采用基期的不同，其反映的内涵是完全不同的；一般来说，环比可以与环比相比较，而不能拿同比与环比相比较；而对于同一个地方，考虑时间纵向上发展趋势的反映，则往往要把同比与环比放在一起进行对照。</w:t>
      </w:r>
    </w:p>
    <w:p>
      <w:pPr>
        <w:spacing w:line="420" w:lineRule="auto"/>
        <w:ind w:firstLine="0"/>
        <w:jc w:val="both"/>
      </w:pPr>
      <w:bookmarkStart w:name="fQrc-1623115565169" w:id="251"/>
      <w:bookmarkEnd w:id="251"/>
      <w:r>
        <w:rPr>
          <w:color w:val="333333"/>
          <w:sz w:val="24"/>
          <w:highlight w:val="white"/>
        </w:rPr>
        <w:t>同比：与历史同时期比较，就是与不同年份的同一时期作比较，例如2005年7月份与2004年7月份相比，叫同比。如图2012年5月与2013年5月对比就叫做同比。</w:t>
      </w:r>
    </w:p>
    <w:p>
      <w:pPr>
        <w:spacing w:line="420" w:lineRule="auto"/>
        <w:ind w:firstLine="0"/>
        <w:jc w:val="both"/>
      </w:pPr>
      <w:bookmarkStart w:name="4y4m-1623115553170" w:id="252"/>
      <w:bookmarkEnd w:id="252"/>
      <w:r>
        <w:rPr>
          <w:color w:val="333333"/>
          <w:sz w:val="24"/>
          <w:highlight w:val="white"/>
        </w:rPr>
        <w:t>环比：与上一统计段比较就是与前一个相邻的时期作比较，例如2005年7月份与2005年6月份相比较，叫环比。</w:t>
      </w:r>
    </w:p>
    <w:p>
      <w:pPr>
        <w:spacing w:line="420" w:lineRule="auto"/>
        <w:jc w:val="both"/>
      </w:pPr>
      <w:bookmarkStart w:name="DQNd-1623115543019" w:id="253"/>
      <w:bookmarkEnd w:id="253"/>
    </w:p>
    <w:p>
      <w:pPr>
        <w:pStyle w:val="2"/>
        <w:spacing w:line="240" w:lineRule="auto" w:before="0" w:after="0"/>
      </w:pPr>
      <w:bookmarkStart w:name="OGGc-1659162226267" w:id="254"/>
      <w:bookmarkEnd w:id="254"/>
      <w:r>
        <w:rPr>
          <w:rFonts w:ascii="微软雅黑" w:hAnsi="微软雅黑" w:cs="微软雅黑" w:eastAsia="微软雅黑"/>
          <w:b w:val="true"/>
          <w:color w:val="000000"/>
          <w:sz w:val="30"/>
        </w:rPr>
        <w:t>资产配置</w:t>
      </w:r>
    </w:p>
    <w:p>
      <w:pPr>
        <w:spacing w:line="320" w:lineRule="auto"/>
      </w:pPr>
      <w:bookmarkStart w:name="8gIH-1623115543240" w:id="255"/>
      <w:bookmarkEnd w:id="255"/>
      <w:r>
        <w:rPr>
          <w:color w:val="121212"/>
          <w:sz w:val="24"/>
          <w:highlight w:val="white"/>
        </w:rPr>
        <w:t>资产配置理论，迎来重大突破！</w:t>
      </w:r>
      <w:hyperlink r:id="rId55">
        <w:r>
          <w:rPr>
            <w:color w:val="003884"/>
            <w:sz w:val="24"/>
            <w:u w:val="single"/>
          </w:rPr>
          <w:t>https://zhuanlan.zhihu.com/p/399839926?utm_source=wechat_session&amp;utm_medium=social&amp;utm_oi=724990794020167680</w:t>
        </w:r>
      </w:hyperlink>
    </w:p>
    <w:p>
      <w:pPr>
        <w:spacing w:line="320" w:lineRule="auto"/>
        <w:jc w:val="both"/>
      </w:pPr>
      <w:bookmarkStart w:name="1681-1629937995690" w:id="256"/>
      <w:bookmarkEnd w:id="256"/>
      <w:r>
        <w:rPr>
          <w:sz w:val="24"/>
        </w:rPr>
        <w:t>风险平衡</w:t>
      </w:r>
    </w:p>
    <w:p>
      <w:pPr>
        <w:spacing w:line="320" w:lineRule="auto"/>
        <w:jc w:val="both"/>
      </w:pPr>
      <w:bookmarkStart w:name="9722-1621738797026" w:id="257"/>
      <w:bookmarkEnd w:id="257"/>
      <w:r>
        <w:rPr>
          <w:sz w:val="24"/>
        </w:rPr>
        <w:t>股债再平衡</w:t>
      </w:r>
    </w:p>
    <w:p>
      <w:pPr>
        <w:spacing w:line="320" w:lineRule="auto"/>
        <w:ind w:firstLine="0"/>
        <w:jc w:val="both"/>
      </w:pPr>
      <w:bookmarkStart w:name="8880-1629938005263" w:id="258"/>
      <w:bookmarkEnd w:id="258"/>
      <w:r>
        <w:rPr>
          <w:color w:val="121212"/>
          <w:sz w:val="24"/>
          <w:highlight w:val="white"/>
        </w:rPr>
        <w:t>所谓资产配置，是指根据投资者的投资目标、风险属性和流动性要求，利用资产组合收益/风险最优化方法，确定资产组合的资产类型、投资区域等各项配比，并持续跟踪优化，以实现投资目标。</w:t>
      </w:r>
    </w:p>
    <w:p>
      <w:pPr>
        <w:spacing w:line="320" w:lineRule="auto"/>
        <w:ind w:firstLine="0"/>
        <w:jc w:val="both"/>
      </w:pPr>
      <w:bookmarkStart w:name="8329-1629938011962" w:id="259"/>
      <w:bookmarkEnd w:id="259"/>
      <w:r>
        <w:rPr>
          <w:color w:val="121212"/>
          <w:sz w:val="24"/>
          <w:highlight w:val="white"/>
        </w:rPr>
        <w:t>资产配置的重要性，体现在提高投资组合收益，降低投资组合的波动性，优化组合的收益风险比。“全球资产配置之父”加里·布林森就说过，做投资决策，最重要的是要着眼于市场，确定好投资类别。从长远看，大约90%的投资收益都是来自于成功的资产配置。</w:t>
      </w:r>
    </w:p>
    <w:p>
      <w:pPr>
        <w:spacing w:line="320" w:lineRule="auto"/>
        <w:jc w:val="both"/>
      </w:pPr>
      <w:bookmarkStart w:name="3836-1629938030276" w:id="260"/>
      <w:bookmarkEnd w:id="260"/>
      <w:r>
        <w:rPr>
          <w:color w:val="121212"/>
          <w:sz w:val="24"/>
          <w:highlight w:val="white"/>
        </w:rPr>
        <w:t>1、配置什么资产？ 股票、债券、保险，还是房地产、大宗商品？</w:t>
      </w:r>
    </w:p>
    <w:p>
      <w:pPr>
        <w:spacing w:line="320" w:lineRule="auto"/>
        <w:jc w:val="both"/>
      </w:pPr>
      <w:bookmarkStart w:name="5018-1629938031090" w:id="261"/>
      <w:bookmarkEnd w:id="261"/>
      <w:r>
        <w:rPr>
          <w:color w:val="121212"/>
          <w:sz w:val="24"/>
          <w:highlight w:val="white"/>
        </w:rPr>
        <w:t>2、配置多少？股票类配置30%还是50%，债券类配置20%还是15%，买多少保险合适？</w:t>
      </w:r>
    </w:p>
    <w:p>
      <w:pPr>
        <w:spacing w:line="320" w:lineRule="auto"/>
        <w:jc w:val="both"/>
      </w:pPr>
      <w:bookmarkStart w:name="2053-1629938031090" w:id="262"/>
      <w:bookmarkEnd w:id="262"/>
      <w:r>
        <w:rPr>
          <w:color w:val="121212"/>
          <w:sz w:val="24"/>
          <w:highlight w:val="white"/>
        </w:rPr>
        <w:t>3、什么时候配置？是一步到位？还是分批配置？怎么分？拍脑袋还是跟着感觉走？还是基于宏观分析？</w:t>
      </w:r>
    </w:p>
    <w:p>
      <w:pPr>
        <w:spacing w:line="320" w:lineRule="auto"/>
        <w:jc w:val="both"/>
      </w:pPr>
      <w:bookmarkStart w:name="1934-1629938031090" w:id="263"/>
      <w:bookmarkEnd w:id="263"/>
      <w:r>
        <w:rPr>
          <w:color w:val="121212"/>
          <w:sz w:val="24"/>
          <w:highlight w:val="white"/>
        </w:rPr>
        <w:t>4、什么时候调整资产配置比例？ 各类风险资产都有价格波动的周期性，什么时候降低股票类资产的配置？股票和债券类资产减持哪一类？依据是什么？</w:t>
      </w:r>
    </w:p>
    <w:p>
      <w:pPr>
        <w:spacing w:line="320" w:lineRule="auto"/>
        <w:jc w:val="both"/>
      </w:pPr>
      <w:bookmarkStart w:name="1676-1621738810667" w:id="264"/>
      <w:bookmarkEnd w:id="264"/>
    </w:p>
    <w:p>
      <w:pPr>
        <w:pStyle w:val="2"/>
        <w:spacing w:line="240" w:lineRule="auto" w:before="0" w:after="0"/>
      </w:pPr>
      <w:bookmarkStart w:name="ut9l-1659162226268" w:id="265"/>
      <w:bookmarkEnd w:id="265"/>
      <w:r>
        <w:rPr>
          <w:rFonts w:ascii="微软雅黑" w:hAnsi="微软雅黑" w:cs="微软雅黑" w:eastAsia="微软雅黑"/>
          <w:b w:val="true"/>
          <w:color w:val="000000"/>
          <w:sz w:val="30"/>
        </w:rPr>
        <w:t>技术面和基本面</w:t>
      </w:r>
    </w:p>
    <w:p>
      <w:pPr/>
      <w:bookmarkStart w:name="teLE-1639392844436" w:id="266"/>
      <w:bookmarkEnd w:id="266"/>
      <w:r>
        <w:rPr>
          <w:sz w:val="24"/>
        </w:rPr>
        <w:t>技术面：指标 K线 MACD</w:t>
      </w:r>
    </w:p>
    <w:p>
      <w:pPr/>
      <w:bookmarkStart w:name="gcDY-1639374947683" w:id="267"/>
      <w:bookmarkEnd w:id="267"/>
      <w:r>
        <w:rPr>
          <w:sz w:val="24"/>
        </w:rPr>
        <w:t>基本面：公司财务</w:t>
      </w:r>
    </w:p>
    <w:p>
      <w:pPr/>
      <w:bookmarkStart w:name="Cd48-1639392866747" w:id="268"/>
      <w:bookmarkEnd w:id="268"/>
    </w:p>
    <w:p>
      <w:pPr>
        <w:pStyle w:val="2"/>
        <w:spacing w:line="240" w:lineRule="auto" w:before="0" w:after="0"/>
      </w:pPr>
      <w:bookmarkStart w:name="BJqD-1639393564935" w:id="269"/>
      <w:bookmarkEnd w:id="269"/>
      <w:r>
        <w:rPr>
          <w:rFonts w:ascii="微软雅黑" w:hAnsi="微软雅黑" w:cs="微软雅黑" w:eastAsia="微软雅黑"/>
          <w:b w:val="true"/>
          <w:color w:val="000000"/>
          <w:sz w:val="30"/>
        </w:rPr>
        <w:t>银行eKYC</w:t>
      </w:r>
    </w:p>
    <w:p>
      <w:pPr>
        <w:spacing w:line="320" w:lineRule="auto"/>
        <w:ind w:firstLine="0"/>
        <w:jc w:val="both"/>
      </w:pPr>
      <w:bookmarkStart w:name="hrjo-1639393561807" w:id="270"/>
      <w:bookmarkEnd w:id="270"/>
      <w:r>
        <w:rPr>
          <w:color w:val="191919"/>
          <w:sz w:val="24"/>
          <w:highlight w:val="white"/>
        </w:rPr>
        <w:t>KYC的意思是“了解你的客户”。</w:t>
      </w:r>
    </w:p>
    <w:p>
      <w:pPr>
        <w:spacing w:line="320" w:lineRule="auto"/>
        <w:ind w:firstLine="0"/>
        <w:jc w:val="both"/>
      </w:pPr>
      <w:bookmarkStart w:name="7891-1629209725372" w:id="271"/>
      <w:bookmarkEnd w:id="271"/>
      <w:r>
        <w:rPr>
          <w:color w:val="191919"/>
          <w:sz w:val="24"/>
          <w:highlight w:val="white"/>
        </w:rPr>
        <w:t>KYC作为目前反洗钱、风控等工作的基础。</w:t>
      </w:r>
    </w:p>
    <w:p>
      <w:pPr>
        <w:spacing w:line="320" w:lineRule="auto"/>
        <w:ind w:firstLine="0"/>
        <w:jc w:val="both"/>
      </w:pPr>
      <w:bookmarkStart w:name="3329-1629209852314" w:id="272"/>
      <w:bookmarkEnd w:id="272"/>
      <w:r>
        <w:rPr>
          <w:color w:val="333333"/>
          <w:sz w:val="24"/>
          <w:highlight w:val="white"/>
        </w:rPr>
        <w:t>风险测评是金融行业KYC（Know Your Customer）原则执行的一个具体工具。</w:t>
      </w:r>
    </w:p>
    <w:p>
      <w:pPr>
        <w:spacing w:line="320" w:lineRule="auto"/>
        <w:ind w:firstLine="0"/>
        <w:jc w:val="both"/>
      </w:pPr>
      <w:bookmarkStart w:name="2048-1629209853070" w:id="273"/>
      <w:bookmarkEnd w:id="273"/>
      <w:r>
        <w:rPr>
          <w:color w:val="333333"/>
          <w:sz w:val="24"/>
          <w:highlight w:val="white"/>
        </w:rPr>
        <w:t>上线投资者强制风险测评功能，不仅是为了提升投资者风险意识和金融知识，同时也是对平台和投资者本身的一种保护，合格的投资者能够理性面对风险，选择适合自己的投资项目，可避免不必要的恐慌和纠纷，从而更好地促进整个行业健康和谐发展。</w:t>
      </w:r>
    </w:p>
    <w:p>
      <w:pPr>
        <w:spacing w:line="320" w:lineRule="auto"/>
        <w:ind w:firstLine="0"/>
        <w:jc w:val="both"/>
      </w:pPr>
      <w:bookmarkStart w:name="7323-1629209853070" w:id="274"/>
      <w:bookmarkEnd w:id="274"/>
      <w:r>
        <w:rPr>
          <w:color w:val="333333"/>
          <w:sz w:val="24"/>
          <w:highlight w:val="white"/>
        </w:rPr>
        <w:t>每个问题选项对应不同的分值，分值越高，代表风险承受能力越高。不进行评估的投资者将无法投资平台项目。投资者参与问卷调查后，平台会根据选项，计算出风险分值；根据风险分值，对投资者进行分级，风险承受能力从小到大依次为L1保守型、L2稳健型、L3平衡型、L4成长型和L5进取型5种类型。这一评估结果将成为平台对投资者进行分级管理的重要依据，进而有针对性地推荐适合的项目，帮助投资者做好风险控制。</w:t>
      </w:r>
    </w:p>
    <w:p>
      <w:pPr>
        <w:spacing w:line="320" w:lineRule="auto"/>
        <w:ind w:firstLine="0"/>
        <w:jc w:val="both"/>
      </w:pPr>
      <w:bookmarkStart w:name="EBbL-1659171174943" w:id="275"/>
      <w:bookmarkEnd w:id="275"/>
    </w:p>
    <w:p>
      <w:pPr>
        <w:pStyle w:val="2"/>
        <w:spacing w:line="320" w:lineRule="auto" w:before="0" w:after="0"/>
        <w:ind w:firstLine="0"/>
        <w:jc w:val="both"/>
      </w:pPr>
      <w:bookmarkStart w:name="h8A8-1659171179938" w:id="276"/>
      <w:bookmarkEnd w:id="276"/>
      <w:r>
        <w:rPr>
          <w:rFonts w:ascii="微软雅黑" w:hAnsi="微软雅黑" w:cs="微软雅黑" w:eastAsia="微软雅黑"/>
          <w:b w:val="true"/>
          <w:color w:val="000000"/>
          <w:sz w:val="30"/>
          <w:highlight w:val="white"/>
        </w:rPr>
        <w:t>游资</w:t>
      </w:r>
    </w:p>
    <w:p>
      <w:pPr/>
      <w:bookmarkStart w:name="LBI7-1659171175205" w:id="277"/>
      <w:bookmarkEnd w:id="277"/>
      <w:r>
        <w:rPr>
          <w:sz w:val="24"/>
        </w:rPr>
        <w:t>股票游资通常指在股市投资的资金，游资的目的是在短时间获得较高回报，在股市里，游资指的是超短线投资者，他们专门进行短线投资，投资的对象主要是小盘股、热点股或一些次新股。</w:t>
      </w:r>
    </w:p>
    <w:p>
      <w:pPr/>
      <w:bookmarkStart w:name="4Rjj-1659171176279" w:id="278"/>
      <w:bookmarkEnd w:id="278"/>
      <w:r>
        <w:rPr>
          <w:sz w:val="24"/>
        </w:rPr>
        <w:t>游资一般具有以下四个特征：</w:t>
      </w:r>
    </w:p>
    <w:p>
      <w:pPr/>
      <w:bookmarkStart w:name="lZlf-1659171176281" w:id="279"/>
      <w:bookmarkEnd w:id="279"/>
      <w:r>
        <w:rPr>
          <w:sz w:val="24"/>
        </w:rPr>
        <w:t>1、高收益性与高风险性</w:t>
      </w:r>
    </w:p>
    <w:p>
      <w:pPr/>
      <w:bookmarkStart w:name="PylA-1659171176283" w:id="280"/>
      <w:bookmarkEnd w:id="280"/>
      <w:r>
        <w:rPr>
          <w:sz w:val="24"/>
        </w:rPr>
        <w:t>追求高收益是游资的最终目的，然而股票市场风险性与收益性是共存的，在追求高收益性时，也会伴随着高风险性。</w:t>
      </w:r>
    </w:p>
    <w:p>
      <w:pPr/>
      <w:bookmarkStart w:name="tC9w-1659171176285" w:id="281"/>
      <w:bookmarkEnd w:id="281"/>
      <w:r>
        <w:rPr>
          <w:sz w:val="24"/>
        </w:rPr>
        <w:t>2、高信息化与敏感性</w:t>
      </w:r>
    </w:p>
    <w:p>
      <w:pPr/>
      <w:bookmarkStart w:name="K1yZ-1659171176287" w:id="282"/>
      <w:bookmarkEnd w:id="282"/>
      <w:r>
        <w:rPr>
          <w:sz w:val="24"/>
        </w:rPr>
        <w:t>热钱是信息化时代的宠儿，对一国或者一个地区的金融现状、国家经济政策、公司的重大信息具有高敏感性，并能迅速的作出反应。比如，我国实行“统一大市场”的规划，游资会迅速的布局相关个股。</w:t>
      </w:r>
    </w:p>
    <w:p>
      <w:pPr/>
      <w:bookmarkStart w:name="wnyp-1659171176289" w:id="283"/>
      <w:bookmarkEnd w:id="283"/>
      <w:r>
        <w:rPr>
          <w:sz w:val="24"/>
        </w:rPr>
        <w:t>3、高流动性与短期性</w:t>
      </w:r>
    </w:p>
    <w:p>
      <w:pPr/>
      <w:bookmarkStart w:name="plH7-1659171176291" w:id="284"/>
      <w:bookmarkEnd w:id="284"/>
      <w:r>
        <w:rPr>
          <w:sz w:val="24"/>
        </w:rPr>
        <w:t>游资在看中某一只股票时，它们会迅速进入，等股价涨到一定的高度时，风险加大，会迅速出逃，一般在一个星期以内。</w:t>
      </w:r>
    </w:p>
    <w:p>
      <w:pPr/>
      <w:bookmarkStart w:name="BTMn-1659171176293" w:id="285"/>
      <w:bookmarkEnd w:id="285"/>
      <w:r>
        <w:rPr>
          <w:sz w:val="24"/>
        </w:rPr>
        <w:t>4、投资的高虚拟性与投机性</w:t>
      </w:r>
    </w:p>
    <w:p>
      <w:pPr/>
      <w:bookmarkStart w:name="k9MY-1659171176295" w:id="286"/>
      <w:bookmarkEnd w:id="286"/>
      <w:r>
        <w:rPr>
          <w:sz w:val="24"/>
        </w:rPr>
        <w:t>一般投资于证券市场和货币市场，赚取价格波动带来的价差收益。</w:t>
      </w:r>
    </w:p>
    <w:p>
      <w:pPr/>
      <w:bookmarkStart w:name="RnUT-1660090132379" w:id="287"/>
      <w:bookmarkEnd w:id="287"/>
    </w:p>
    <w:p>
      <w:pPr>
        <w:pStyle w:val="2"/>
        <w:spacing w:line="240" w:lineRule="auto" w:before="0" w:after="0"/>
      </w:pPr>
      <w:bookmarkStart w:name="GwZ9-1660090150100" w:id="288"/>
      <w:bookmarkEnd w:id="288"/>
      <w:r>
        <w:rPr>
          <w:rFonts w:ascii="微软雅黑" w:hAnsi="微软雅黑" w:cs="微软雅黑" w:eastAsia="微软雅黑"/>
          <w:b w:val="true"/>
          <w:sz w:val="30"/>
        </w:rPr>
        <w:t>老鼠仓</w:t>
      </w:r>
    </w:p>
    <w:p>
      <w:pPr/>
      <w:bookmarkStart w:name="Gmnb-1660090132655" w:id="289"/>
      <w:bookmarkEnd w:id="289"/>
      <w:r>
        <w:rPr>
          <w:sz w:val="24"/>
        </w:rPr>
        <w:t>老鼠仓是一种</w:t>
      </w:r>
      <w:hyperlink r:id="rId56">
        <w:r>
          <w:rPr>
            <w:color w:val="003884"/>
            <w:sz w:val="24"/>
          </w:rPr>
          <w:t>营私舞弊</w:t>
        </w:r>
      </w:hyperlink>
      <w:r>
        <w:rPr>
          <w:sz w:val="24"/>
        </w:rPr>
        <w:t>，损公肥私的腐败行径，具体指</w:t>
      </w:r>
      <w:hyperlink r:id="rId57">
        <w:r>
          <w:rPr>
            <w:color w:val="003884"/>
            <w:sz w:val="24"/>
          </w:rPr>
          <w:t>庄家</w:t>
        </w:r>
      </w:hyperlink>
      <w:r>
        <w:rPr>
          <w:sz w:val="24"/>
        </w:rPr>
        <w:t>在用公有资金拉升</w:t>
      </w:r>
      <w:hyperlink r:id="rId58">
        <w:r>
          <w:rPr>
            <w:color w:val="003884"/>
            <w:sz w:val="24"/>
          </w:rPr>
          <w:t>股价</w:t>
        </w:r>
      </w:hyperlink>
      <w:r>
        <w:rPr>
          <w:sz w:val="24"/>
        </w:rPr>
        <w:t>之前，先用自己个人（机构负责人，</w:t>
      </w:r>
      <w:hyperlink r:id="rId59">
        <w:r>
          <w:rPr>
            <w:color w:val="003884"/>
            <w:sz w:val="24"/>
          </w:rPr>
          <w:t>操盘手</w:t>
        </w:r>
      </w:hyperlink>
      <w:r>
        <w:rPr>
          <w:sz w:val="24"/>
        </w:rPr>
        <w:t>及其亲属，关系户）的资金在</w:t>
      </w:r>
      <w:hyperlink r:id="rId60">
        <w:r>
          <w:rPr>
            <w:color w:val="003884"/>
            <w:sz w:val="24"/>
          </w:rPr>
          <w:t>低位</w:t>
        </w:r>
      </w:hyperlink>
      <w:hyperlink r:id="rId61">
        <w:r>
          <w:rPr>
            <w:color w:val="003884"/>
            <w:sz w:val="24"/>
          </w:rPr>
          <w:t>建仓</w:t>
        </w:r>
      </w:hyperlink>
      <w:r>
        <w:rPr>
          <w:sz w:val="24"/>
        </w:rPr>
        <w:t>，待用公有资金拉升到高位后个人</w:t>
      </w:r>
      <w:hyperlink r:id="rId62">
        <w:r>
          <w:rPr>
            <w:color w:val="003884"/>
            <w:sz w:val="24"/>
          </w:rPr>
          <w:t>仓位</w:t>
        </w:r>
      </w:hyperlink>
      <w:r>
        <w:rPr>
          <w:sz w:val="24"/>
        </w:rPr>
        <w:t>率先卖出获利，与腐败干部别无二致，取自谚语：硕鼠硕鼠，无食我黍，故名老鼠仓，古代统治者又视老百姓为草民，鼠辈，而金融领域从基金经理到证券分析师，大多是受过高等教育的金领白领，对金融业者中的此类行为视为老鼠之举，故有此说。</w:t>
      </w:r>
    </w:p>
    <w:p>
      <w:pPr/>
      <w:bookmarkStart w:name="50hN-1659171201810" w:id="290"/>
      <w:bookmarkEnd w:id="290"/>
    </w:p>
    <w:p>
      <w:pPr>
        <w:pStyle w:val="2"/>
        <w:spacing w:line="240" w:lineRule="auto" w:before="0" w:after="0"/>
      </w:pPr>
      <w:bookmarkStart w:name="LJFb-1662855908012" w:id="291"/>
      <w:bookmarkEnd w:id="291"/>
      <w:r>
        <w:rPr>
          <w:rFonts w:ascii="微软雅黑" w:hAnsi="微软雅黑" w:cs="微软雅黑" w:eastAsia="微软雅黑"/>
          <w:b w:val="true"/>
          <w:sz w:val="30"/>
        </w:rPr>
        <w:t>信托</w:t>
      </w:r>
    </w:p>
    <w:p>
      <w:pPr/>
      <w:bookmarkStart w:name="EGFs-1662855908626" w:id="292"/>
      <w:bookmarkEnd w:id="292"/>
      <w:r>
        <w:rPr/>
        <w:t>信托是委托人基于对受托人的信任，将其财产权委托给受托人，由受托人按委托人的意愿以自己的名义，为受益人的利益或特定目的，进行管理和处分的行为。</w:t>
      </w:r>
    </w:p>
    <w:p>
      <w:pPr/>
      <w:bookmarkStart w:name="teuQ-1662855908628" w:id="293"/>
      <w:bookmarkEnd w:id="293"/>
      <w:r>
        <w:rPr/>
        <w:t>信托（Trust）是一种理财方式，是一种特殊的财产管理制度和法律行为，同时又是一种金融制度。信托与银行、保险、证券一起构成了现代金融体系。信托业务是一种以信用为基础的法律行为，一般涉及三方面当事人，即投入信用的委托人，受信于人的受托人，以及受益于人的受益人。</w:t>
      </w:r>
    </w:p>
    <w:p>
      <w:pPr/>
      <w:bookmarkStart w:name="qDUZ-1662855908630" w:id="294"/>
      <w:bookmarkEnd w:id="294"/>
    </w:p>
    <w:p>
      <w:pPr>
        <w:pStyle w:val="2"/>
        <w:spacing w:line="240" w:lineRule="auto" w:before="0" w:after="0"/>
      </w:pPr>
      <w:bookmarkStart w:name="0JYt-1662855925241" w:id="295"/>
      <w:bookmarkEnd w:id="295"/>
      <w:r>
        <w:rPr>
          <w:rFonts w:ascii="微软雅黑" w:hAnsi="微软雅黑" w:cs="微软雅黑" w:eastAsia="微软雅黑"/>
          <w:b w:val="true"/>
          <w:sz w:val="30"/>
        </w:rPr>
        <w:t>资产剥离</w:t>
      </w:r>
    </w:p>
    <w:p>
      <w:pPr/>
      <w:bookmarkStart w:name="KJAX-1662855908632" w:id="296"/>
      <w:bookmarkEnd w:id="296"/>
      <w:r>
        <w:rPr/>
        <w:t>资产剥离是指企业将其所拥有的资产、产品线、经营部门、子公司出售给第三方，以获取现金或股票或现金与股票混合形式的回报的一种商业行为。资产剥离的一种特别方式是资产置换。</w:t>
      </w:r>
    </w:p>
    <w:p>
      <w:pPr/>
      <w:bookmarkStart w:name="hJHk-1662855932838" w:id="297"/>
      <w:bookmarkEnd w:id="297"/>
    </w:p>
    <w:p>
      <w:pPr>
        <w:pStyle w:val="2"/>
        <w:spacing w:line="240" w:lineRule="auto" w:before="0" w:after="0"/>
      </w:pPr>
      <w:bookmarkStart w:name="xl3L-1662855908634" w:id="298"/>
      <w:bookmarkEnd w:id="298"/>
      <w:r>
        <w:rPr>
          <w:rFonts w:ascii="微软雅黑" w:hAnsi="微软雅黑" w:cs="微软雅黑" w:eastAsia="微软雅黑"/>
          <w:b w:val="true"/>
          <w:sz w:val="30"/>
        </w:rPr>
        <w:t>银行承兑汇票</w:t>
      </w:r>
    </w:p>
    <w:p>
      <w:pPr/>
      <w:bookmarkStart w:name="pvoB-1662855908636" w:id="299"/>
      <w:bookmarkEnd w:id="299"/>
      <w:r>
        <w:rPr/>
        <w:t>是指承兑申请人签发，委托承兑行在指定日期无条件支付确定金额给收款人或持票人的票据。</w:t>
      </w:r>
    </w:p>
    <w:p>
      <w:pPr/>
      <w:bookmarkStart w:name="Fg53-1675087308897" w:id="300"/>
      <w:bookmarkEnd w:id="300"/>
    </w:p>
    <w:p>
      <w:pPr>
        <w:pStyle w:val="2"/>
        <w:spacing w:line="240" w:lineRule="auto" w:before="0" w:after="0"/>
      </w:pPr>
      <w:bookmarkStart w:name="qBNh-1675087320374" w:id="301"/>
      <w:bookmarkEnd w:id="301"/>
      <w:r>
        <w:rPr>
          <w:rFonts w:ascii="微软雅黑" w:hAnsi="微软雅黑" w:cs="微软雅黑" w:eastAsia="微软雅黑"/>
          <w:b w:val="true"/>
          <w:sz w:val="30"/>
        </w:rPr>
        <w:t>price in</w:t>
      </w:r>
    </w:p>
    <w:p>
      <w:pPr/>
      <w:bookmarkStart w:name="JtZl-1675087309121" w:id="302"/>
      <w:bookmarkEnd w:id="302"/>
      <w:r>
        <w:rPr/>
        <w:t>price in是指某个消息已经被市场消化而导致的价格不动或者反弹，简单来说就是</w:t>
      </w:r>
      <w:r>
        <w:rPr>
          <w:color w:val="121212"/>
        </w:rPr>
        <w:t>消息预期已经体现在股价上了。</w:t>
      </w:r>
    </w:p>
    <w:p>
      <w:pPr/>
      <w:bookmarkStart w:name="nzw2-1675087309637" w:id="303"/>
      <w:bookmarkEnd w:id="303"/>
      <w:r>
        <w:rPr>
          <w:color w:val="121212"/>
        </w:rPr>
        <w:t>price in是经济学上的一个词，没有合适的汉语对应，意思差不多是“（市场消化了信息而）给出相应的价格”，如果学过经济学，知道“看不见的手”对未来价格的反映，应该就能理解这个含义。</w:t>
      </w:r>
    </w:p>
    <w:p>
      <w:pPr/>
      <w:bookmarkStart w:name="vohH-1659171201982" w:id="304"/>
      <w:bookmarkEnd w:id="304"/>
    </w:p>
    <w:p>
      <w:pPr>
        <w:pStyle w:val="2"/>
        <w:spacing w:line="240" w:lineRule="auto" w:before="0" w:after="0"/>
      </w:pPr>
      <w:bookmarkStart w:name="Jjt8-1675126850802" w:id="305"/>
      <w:bookmarkEnd w:id="305"/>
      <w:r>
        <w:rPr>
          <w:rFonts w:ascii="微软雅黑" w:hAnsi="微软雅黑" w:cs="微软雅黑" w:eastAsia="微软雅黑"/>
          <w:b w:val="true"/>
          <w:sz w:val="30"/>
        </w:rPr>
        <w:t>退市条款</w:t>
      </w:r>
    </w:p>
    <w:p>
      <w:pPr/>
      <w:bookmarkStart w:name="6E3z-1675126848557" w:id="306"/>
      <w:bookmarkEnd w:id="306"/>
      <w:r>
        <w:rPr>
          <w:rFonts w:ascii="Arial" w:hAnsi="Arial" w:cs="Arial" w:eastAsia="Arial"/>
          <w:color w:val="222222"/>
          <w:sz w:val="26"/>
          <w:highlight w:val="white"/>
        </w:rPr>
        <w:t>连续20个交易日收盘价低于1元的面值退市条款。</w:t>
      </w:r>
    </w:p>
    <w:p>
      <w:pPr/>
      <w:bookmarkStart w:name="tf3x-1688435216808" w:id="307"/>
      <w:bookmarkEnd w:id="307"/>
    </w:p>
    <w:p>
      <w:pPr>
        <w:pStyle w:val="2"/>
        <w:spacing w:line="240" w:lineRule="auto" w:before="0" w:after="0"/>
      </w:pPr>
      <w:bookmarkStart w:name="Rwan-1688435225679" w:id="308"/>
      <w:bookmarkEnd w:id="308"/>
      <w:r>
        <w:rPr>
          <w:rFonts w:ascii="微软雅黑" w:hAnsi="微软雅黑" w:cs="微软雅黑" w:eastAsia="微软雅黑"/>
          <w:b w:val="true"/>
          <w:sz w:val="30"/>
        </w:rPr>
        <w:t>在岸和离岸人民币</w:t>
      </w:r>
    </w:p>
    <w:p>
      <w:pPr/>
      <w:bookmarkStart w:name="bmOG-1688435217016" w:id="309"/>
      <w:bookmarkEnd w:id="309"/>
      <w:r>
        <w:rPr/>
        <w:t>所谓在岸和离岸人民币汇率是针对中国内地市场而言的：在岸是指中国内地市场之内，而离岸则是指中国内地市场之外。 与之对应，在岸人民币（CNY）是指仅在中国内地境内交易的人民币，而离岸人民币（CNH）则是指在中国内地境外交易的人民币，例如香港、新加坡和伦敦等离岸人民币市场。</w:t>
      </w:r>
    </w:p>
    <w:p>
      <w:pPr/>
      <w:bookmarkStart w:name="FOBE-1688435238042" w:id="310"/>
      <w:bookmarkEnd w:id="310"/>
      <w:r>
        <w:rPr/>
        <w:t>离岸人民币是指在中国境外经营人民币的存放款业务。 交易双方均为非居民的业务称为离岸金融业务。 离岸市场提供离岸金融业务。 中国人民银行支持在香港建立人民币离岸市场。</w:t>
      </w:r>
    </w:p>
    <w:p>
      <w:pPr/>
      <w:bookmarkStart w:name="3KpD-1659171202156" w:id="311"/>
      <w:bookmarkEnd w:id="311"/>
    </w:p>
    <w:p>
      <w:pPr>
        <w:pStyle w:val="2"/>
        <w:spacing w:line="240" w:lineRule="auto" w:before="0" w:after="0"/>
      </w:pPr>
      <w:bookmarkStart w:name="gk3U-1708390927811" w:id="312"/>
      <w:bookmarkEnd w:id="312"/>
      <w:r>
        <w:rPr>
          <w:rFonts w:ascii="Arial" w:hAnsi="Arial" w:cs="Arial" w:eastAsia="Arial"/>
          <w:b w:val="true"/>
          <w:color w:val="333333"/>
          <w:sz w:val="30"/>
          <w:highlight w:val="white"/>
        </w:rPr>
        <w:t>同业存单</w:t>
      </w:r>
    </w:p>
    <w:p>
      <w:pPr/>
      <w:bookmarkStart w:name="s38p-1708390933081" w:id="313"/>
      <w:bookmarkEnd w:id="313"/>
      <w:r>
        <w:rPr/>
        <w:t>同业存单是银行业存款类金融机构在全国银行间市场发行的记账式定期存款凭证，自2013年发行以来，为银行提供了有效的流动性管理手段，规模不断发展。期限在1年以内，可质押、转让，交易活跃、流动性较好。发行主体信用评级较高，多为国有商业银行和全国股份制商业银行。</w:t>
      </w:r>
    </w:p>
    <w:p>
      <w:pPr/>
      <w:bookmarkStart w:name="Swpc-1708391044916" w:id="314"/>
      <w:bookmarkEnd w:id="314"/>
      <w:r>
        <w:rPr/>
        <w:t>同业存单也是一种存款凭证。</w:t>
      </w:r>
    </w:p>
    <w:p>
      <w:pPr/>
      <w:bookmarkStart w:name="0Nl5-1708391509148" w:id="315"/>
      <w:bookmarkEnd w:id="315"/>
    </w:p>
    <w:p>
      <w:pPr>
        <w:pStyle w:val="2"/>
        <w:spacing w:line="240" w:lineRule="auto" w:before="0" w:after="0"/>
      </w:pPr>
      <w:bookmarkStart w:name="c59R-1708391509325" w:id="316"/>
      <w:bookmarkEnd w:id="316"/>
      <w:r>
        <w:rPr>
          <w:rFonts w:ascii="微软雅黑" w:hAnsi="微软雅黑" w:cs="微软雅黑" w:eastAsia="微软雅黑"/>
          <w:b w:val="true"/>
          <w:sz w:val="30"/>
        </w:rPr>
        <w:t>转融通</w:t>
      </w:r>
    </w:p>
    <w:p>
      <w:pPr/>
      <w:bookmarkStart w:name="fpsb-1708391514106" w:id="317"/>
      <w:bookmarkEnd w:id="317"/>
      <w:r>
        <w:rPr>
          <w:rFonts w:ascii="Arial" w:hAnsi="Arial" w:cs="Arial" w:eastAsia="Arial"/>
          <w:color w:val="333333"/>
          <w:sz w:val="24"/>
          <w:highlight w:val="white"/>
        </w:rPr>
        <w:t>转融通是融资融券中的一个重要环节，证券金融公司将资金和证券转借给证券公司，再由证券公司提供给投资者的过程。</w:t>
      </w:r>
    </w:p>
    <w:p>
      <w:pPr/>
      <w:bookmarkStart w:name="9MT9-1708473674266" w:id="318"/>
      <w:bookmarkEnd w:id="318"/>
      <w:r>
        <w:rPr>
          <w:rFonts w:ascii="Arial" w:hAnsi="Arial" w:cs="Arial" w:eastAsia="Arial"/>
          <w:color w:val="333333"/>
          <w:sz w:val="24"/>
          <w:highlight w:val="white"/>
        </w:rPr>
        <w:t>举例子：</w:t>
      </w:r>
    </w:p>
    <w:p>
      <w:pPr/>
      <w:bookmarkStart w:name="9Gna-1708473677420" w:id="319"/>
      <w:bookmarkEnd w:id="319"/>
      <w:r>
        <w:rPr/>
        <w:t>第一步，我找证券公司借100股，每股5元，总共市值500元，付利息5%，成本25元；</w:t>
      </w:r>
    </w:p>
    <w:p>
      <w:pPr/>
      <w:bookmarkStart w:name="pBqF-1708473677723" w:id="320"/>
      <w:bookmarkEnd w:id="320"/>
      <w:r>
        <w:rPr/>
        <w:t>第二步，把100股卖了，回款500元；</w:t>
      </w:r>
    </w:p>
    <w:p>
      <w:pPr/>
      <w:bookmarkStart w:name="TYAA-1708473677725" w:id="321"/>
      <w:bookmarkEnd w:id="321"/>
      <w:r>
        <w:rPr/>
        <w:t>第三步，打压股价到3元，买回100股还给证券公司。成本300元。扣掉利息费，获利175元。</w:t>
      </w:r>
    </w:p>
    <w:p>
      <w:pPr/>
      <w:bookmarkStart w:name="n2fv-1708473677727" w:id="322"/>
      <w:bookmarkEnd w:id="322"/>
      <w:r>
        <w:rPr/>
        <w:t>其实每个人到证券公司去开通这个业务之后，都是可以操作的。尤其是当这一波大反弹结束之后，针对个股去操作，盈利的确定性，比针对大盘的股指期货还要更好。</w:t>
      </w:r>
    </w:p>
    <w:p>
      <w:pPr/>
      <w:bookmarkStart w:name="vkuB-1708599104917" w:id="323"/>
      <w:bookmarkEnd w:id="323"/>
    </w:p>
    <w:p>
      <w:pPr>
        <w:pStyle w:val="2"/>
        <w:spacing w:line="240" w:lineRule="auto" w:before="0" w:after="0"/>
      </w:pPr>
      <w:bookmarkStart w:name="8qZs-1708735004467" w:id="324"/>
      <w:bookmarkEnd w:id="324"/>
      <w:r>
        <w:rPr>
          <w:rFonts w:ascii="微软雅黑" w:hAnsi="微软雅黑" w:cs="微软雅黑" w:eastAsia="微软雅黑"/>
          <w:b w:val="true"/>
          <w:sz w:val="30"/>
        </w:rPr>
        <w:t>金融行业细分</w:t>
      </w:r>
    </w:p>
    <w:p>
      <w:pPr/>
      <w:bookmarkStart w:name="DJKC-1708736942986" w:id="325"/>
      <w:bookmarkEnd w:id="325"/>
      <w:r>
        <w:rPr/>
        <w:t>投行、基金、VC（</w:t>
      </w:r>
      <w:r>
        <w:rPr>
          <w:rFonts w:ascii="Arial" w:hAnsi="Arial" w:cs="Arial" w:eastAsia="Arial"/>
          <w:color w:val="222222"/>
          <w:highlight w:val="white"/>
        </w:rPr>
        <w:t>Venture Capital，风险投资</w:t>
      </w:r>
      <w:r>
        <w:rPr/>
        <w:t>）、PE（</w:t>
      </w:r>
      <w:r>
        <w:rPr>
          <w:rFonts w:ascii="Arial" w:hAnsi="Arial" w:cs="Arial" w:eastAsia="Arial"/>
          <w:color w:val="222222"/>
          <w:highlight w:val="white"/>
        </w:rPr>
        <w:t>Private Equity，私募股权</w:t>
      </w:r>
      <w:r>
        <w:rPr/>
        <w:t>）、证券、银行、保险、信托、资产管理、期货等。</w:t>
      </w:r>
    </w:p>
    <w:p>
      <w:pPr/>
      <w:bookmarkStart w:name="Di1O-1674961291716" w:id="326"/>
      <w:bookmarkEnd w:id="326"/>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0"/>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https://baike.baidu.com/item/%E9%A6%99%E6%B8%AF%E6%81%92%E7%94%9F%E9%93%B6%E8%A1%8C/9126682" TargetMode="External" Type="http://schemas.openxmlformats.org/officeDocument/2006/relationships/hyperlink"/><Relationship Id="rId11" Target="https://baike.baidu.com/item/%E8%82%A1%E7%A5%A8%E5%B8%82%E5%9C%BA" TargetMode="External" Type="http://schemas.openxmlformats.org/officeDocument/2006/relationships/hyperlink"/><Relationship Id="rId12" Target="https://baike.baidu.com/item/%E8%82%A1%E7%A5%A8/22647" TargetMode="External" Type="http://schemas.openxmlformats.org/officeDocument/2006/relationships/hyperlink"/><Relationship Id="rId13" Target="https://baike.baidu.com/item/%E8%82%A1%E4%BB%B7%E6%8C%87%E6%95%B0" TargetMode="External" Type="http://schemas.openxmlformats.org/officeDocument/2006/relationships/hyperlink"/><Relationship Id="rId14" Target="https://baike.baidu.com/item/%E5%9F%BA%E6%9C%9F/5890923" TargetMode="External" Type="http://schemas.openxmlformats.org/officeDocument/2006/relationships/hyperlink"/><Relationship Id="rId15" Target="https://baike.baidu.com/item/%E5%9F%BA%E6%9C%9F%E6%8C%87%E6%95%B0/655641" TargetMode="External" Type="http://schemas.openxmlformats.org/officeDocument/2006/relationships/hyperlink"/><Relationship Id="rId16" Target="https://baike.baidu.com/item/%E6%94%B6%E7%9B%8A%E7%8E%87/4533890" TargetMode="External" Type="http://schemas.openxmlformats.org/officeDocument/2006/relationships/hyperlink"/><Relationship Id="rId17" Target="https://baike.baidu.com/item/%E4%BF%9D%E8%AF%81%E9%87%91/650093" TargetMode="External" Type="http://schemas.openxmlformats.org/officeDocument/2006/relationships/hyperlink"/><Relationship Id="rId18" Target="https://baike.baidu.com/item/%E6%A0%87%E7%9A%84%E8%B5%84%E4%BA%A7/2577140" TargetMode="External" Type="http://schemas.openxmlformats.org/officeDocument/2006/relationships/hyperlink"/><Relationship Id="rId19" Target="https://www.bilibili.com/video/BV1Bp4y1H7BQ/?spm_id_from=autoNext" TargetMode="External" Type="http://schemas.openxmlformats.org/officeDocument/2006/relationships/hyperlink"/><Relationship Id="rId2" Target="styles.xml" Type="http://schemas.openxmlformats.org/officeDocument/2006/relationships/styles"/><Relationship Id="rId20" Target="media/image1.png" Type="http://schemas.openxmlformats.org/officeDocument/2006/relationships/image"/><Relationship Id="rId21" Target="media/image2.png" Type="http://schemas.openxmlformats.org/officeDocument/2006/relationships/image"/><Relationship Id="rId22" Target="https://baike.baidu.com/item/%E9%87%91%E8%9E%8D%E6%8A%95%E8%B5%84/6946912" TargetMode="External" Type="http://schemas.openxmlformats.org/officeDocument/2006/relationships/hyperlink"/><Relationship Id="rId23" Target="https://baike.baidu.com/item/%E5%8E%9F%E6%B2%B9/789512" TargetMode="External" Type="http://schemas.openxmlformats.org/officeDocument/2006/relationships/hyperlink"/><Relationship Id="rId24" Target="https://baike.baidu.com/item/%E6%9C%89%E8%89%B2%E9%87%91%E5%B1%9E/603114" TargetMode="External" Type="http://schemas.openxmlformats.org/officeDocument/2006/relationships/hyperlink"/><Relationship Id="rId25" Target="media/image3.png" Type="http://schemas.openxmlformats.org/officeDocument/2006/relationships/image"/><Relationship Id="rId26" Target="https://baike.baidu.com/item/%E9%A1%BA%E5%91%A8%E6%9C%9F%E6%95%88%E5%BA%94" TargetMode="External" Type="http://schemas.openxmlformats.org/officeDocument/2006/relationships/hyperlink"/><Relationship Id="rId27" Target="https://baike.baidu.com/item/%E4%BB%B7%E5%80%BC/3771581" TargetMode="External" Type="http://schemas.openxmlformats.org/officeDocument/2006/relationships/hyperlink"/><Relationship Id="rId28" Target="https://baike.baidu.com/item/%E4%BD%8E%E4%BC%B0" TargetMode="External" Type="http://schemas.openxmlformats.org/officeDocument/2006/relationships/hyperlink"/><Relationship Id="rId29" Target="https://baike.baidu.com/item/%E4%BC%B0%E5%80%BC" TargetMode="External" Type="http://schemas.openxmlformats.org/officeDocument/2006/relationships/hyperlink"/><Relationship Id="rId3" Target="https://baike.baidu.com/item/%E6%8C%87%E6%95%B0" TargetMode="External" Type="http://schemas.openxmlformats.org/officeDocument/2006/relationships/hyperlink"/><Relationship Id="rId30" Target="https://baike.baidu.com/item/%E4%BA%BA%E6%B0%91%E5%B8%81/330794" TargetMode="External" Type="http://schemas.openxmlformats.org/officeDocument/2006/relationships/hyperlink"/><Relationship Id="rId31" Target="https://baike.baidu.com/item/%E5%AE%A2%E5%AE%B6%E8%AF%AD/8250671" TargetMode="External" Type="http://schemas.openxmlformats.org/officeDocument/2006/relationships/hyperlink"/><Relationship Id="rId32" Target="https://baike.baidu.com/item/%E8%82%A1%E5%B8%82/1390595" TargetMode="External" Type="http://schemas.openxmlformats.org/officeDocument/2006/relationships/hyperlink"/><Relationship Id="rId33" Target="https://baike.baidu.com/item/%E9%A6%99%E6%B8%AF/128775" TargetMode="External" Type="http://schemas.openxmlformats.org/officeDocument/2006/relationships/hyperlink"/><Relationship Id="rId34" Target="https://baike.baidu.com/item/%E8%B4%A7%E5%B8%81/85299" TargetMode="External" Type="http://schemas.openxmlformats.org/officeDocument/2006/relationships/hyperlink"/><Relationship Id="rId35" Target="https://baike.baidu.com/item/%E6%B3%95%E5%AE%9A%E5%AD%98%E6%AC%BE%E5%87%86%E5%A4%87%E9%87%91%E7%8E%87/4735591" TargetMode="External" Type="http://schemas.openxmlformats.org/officeDocument/2006/relationships/hyperlink"/><Relationship Id="rId36" Target="https://www.zhihu.com/question/22688887" TargetMode="External" Type="http://schemas.openxmlformats.org/officeDocument/2006/relationships/hyperlink"/><Relationship Id="rId37" Target="https://www.zhihu.com/question/19621735" TargetMode="External" Type="http://schemas.openxmlformats.org/officeDocument/2006/relationships/hyperlink"/><Relationship Id="rId38" Target="https://baike.baidu.com/item/%E6%91%A9%E6%A0%B9" TargetMode="External" Type="http://schemas.openxmlformats.org/officeDocument/2006/relationships/hyperlink"/><Relationship Id="rId39" Target="https://baike.baidu.com/item/%E8%AF%81%E5%88%B8%E5%B8%82%E5%9C%BA/2986895" TargetMode="External" Type="http://schemas.openxmlformats.org/officeDocument/2006/relationships/hyperlink"/><Relationship Id="rId4" Target="https://baike.baidu.com/item/%E9%A6%99%E6%B8%AF%E8%82%A1%E5%B8%82/6660993" TargetMode="External" Type="http://schemas.openxmlformats.org/officeDocument/2006/relationships/hyperlink"/><Relationship Id="rId40" Target="https://baike.baidu.com/item/%E4%BC%98%E5%8C%96%E8%B5%84%E6%BA%90%E9%85%8D%E7%BD%AE" TargetMode="External" Type="http://schemas.openxmlformats.org/officeDocument/2006/relationships/hyperlink"/><Relationship Id="rId41" Target="https://baike.baidu.com/item/%E6%8A%95%E8%B5%84%E9%93%B6%E8%A1%8C%E5%9C%A8%E7%BA%BF/1111837" TargetMode="External" Type="http://schemas.openxmlformats.org/officeDocument/2006/relationships/hyperlink"/><Relationship Id="rId42" Target="https://baike.baidu.com/item/%E5%9B%BD%E9%99%85%E6%8A%95%E8%B5%84%E9%93%B6%E8%A1%8C/14714017" TargetMode="External" Type="http://schemas.openxmlformats.org/officeDocument/2006/relationships/hyperlink"/><Relationship Id="rId43" Target="https://baike.baidu.com/item/%E4%BC%81%E4%B8%9A%E8%9E%8D%E8%B5%84/9970503" TargetMode="External" Type="http://schemas.openxmlformats.org/officeDocument/2006/relationships/hyperlink"/><Relationship Id="rId44" Target="https://baike.baidu.com/item/%E9%87%91%E8%9E%8D%E4%B8%AD%E4%BB%8B/10778219" TargetMode="External" Type="http://schemas.openxmlformats.org/officeDocument/2006/relationships/hyperlink"/><Relationship Id="rId45" Target="https://baike.baidu.com/item/%E6%8A%95%E8%B5%84%E9%93%B6%E8%A1%8C%E4%B8%9A%E5%8A%A1/9350785" TargetMode="External" Type="http://schemas.openxmlformats.org/officeDocument/2006/relationships/hyperlink"/><Relationship Id="rId46" Target="https://baike.baidu.com/item/%E8%AF%81%E5%88%B8%E6%89%BF%E9%94%80/2984692" TargetMode="External" Type="http://schemas.openxmlformats.org/officeDocument/2006/relationships/hyperlink"/><Relationship Id="rId47" Target="https://baike.baidu.com/item/%E8%AF%81%E5%88%B8%E4%BA%A4%E6%98%93/3277" TargetMode="External" Type="http://schemas.openxmlformats.org/officeDocument/2006/relationships/hyperlink"/><Relationship Id="rId48" Target="https://baike.baidu.com/item/%E5%85%BC%E5%B9%B6%E6%94%B6%E8%B4%AD/10699542" TargetMode="External" Type="http://schemas.openxmlformats.org/officeDocument/2006/relationships/hyperlink"/><Relationship Id="rId49" Target="https://baike.baidu.com/item/%E9%A3%8E%E9%99%A9%E6%8A%95%E8%B5%84/154499" TargetMode="External" Type="http://schemas.openxmlformats.org/officeDocument/2006/relationships/hyperlink"/><Relationship Id="rId5" Target="https://baike.baidu.com/item/%E8%93%9D%E7%AD%B9%E8%82%A1/264529" TargetMode="External" Type="http://schemas.openxmlformats.org/officeDocument/2006/relationships/hyperlink"/><Relationship Id="rId50" Target="https://baike.baidu.com/item/%E4%BF%A1%E8%B4%B7%E8%B5%84%E4%BA%A7%E8%AF%81%E5%88%B8%E5%8C%96/6098625" TargetMode="External" Type="http://schemas.openxmlformats.org/officeDocument/2006/relationships/hyperlink"/><Relationship Id="rId51" Target="media/image4.png" Type="http://schemas.openxmlformats.org/officeDocument/2006/relationships/image"/><Relationship Id="rId52" Target="https://baike.baidu.com/item/%E9%AB%98%E7%9B%9B/12935" TargetMode="External" Type="http://schemas.openxmlformats.org/officeDocument/2006/relationships/hyperlink"/><Relationship Id="rId53" Target="https://baike.baidu.com/item/%E8%8A%B1%E6%97%97/1599025" TargetMode="External" Type="http://schemas.openxmlformats.org/officeDocument/2006/relationships/hyperlink"/><Relationship Id="rId54" Target="numbering.xml" Type="http://schemas.openxmlformats.org/officeDocument/2006/relationships/numbering"/><Relationship Id="rId55" Target="https://zhuanlan.zhihu.com/p/399839926?utm_source=wechat_session&amp;utm_medium=social&amp;utm_oi=724990794020167680" TargetMode="External" Type="http://schemas.openxmlformats.org/officeDocument/2006/relationships/hyperlink"/><Relationship Id="rId56" Target="https://baike.baidu.com/item/%E8%90%A5%E7%A7%81%E8%88%9E%E5%BC%8A/2917051" TargetMode="External" Type="http://schemas.openxmlformats.org/officeDocument/2006/relationships/hyperlink"/><Relationship Id="rId57" Target="https://baike.baidu.com/item/%E5%BA%84%E5%AE%B6/3067980" TargetMode="External" Type="http://schemas.openxmlformats.org/officeDocument/2006/relationships/hyperlink"/><Relationship Id="rId58" Target="https://baike.baidu.com/item/%E8%82%A1%E4%BB%B7/9079155" TargetMode="External" Type="http://schemas.openxmlformats.org/officeDocument/2006/relationships/hyperlink"/><Relationship Id="rId59" Target="https://baike.baidu.com/item/%E6%93%8D%E7%9B%98%E6%89%8B/31634" TargetMode="External" Type="http://schemas.openxmlformats.org/officeDocument/2006/relationships/hyperlink"/><Relationship Id="rId6" Target="https://baike.baidu.com/item/%E5%B8%82%E5%80%BC/3694784" TargetMode="External" Type="http://schemas.openxmlformats.org/officeDocument/2006/relationships/hyperlink"/><Relationship Id="rId60" Target="https://baike.baidu.com/item/%E4%BD%8E%E4%BD%8D/5044113" TargetMode="External" Type="http://schemas.openxmlformats.org/officeDocument/2006/relationships/hyperlink"/><Relationship Id="rId61" Target="https://baike.baidu.com/item/%E5%BB%BA%E4%BB%93/3070296" TargetMode="External" Type="http://schemas.openxmlformats.org/officeDocument/2006/relationships/hyperlink"/><Relationship Id="rId62" Target="https://baike.baidu.com/item/%E4%BB%93%E4%BD%8D/8995504" TargetMode="External" Type="http://schemas.openxmlformats.org/officeDocument/2006/relationships/hyperlink"/><Relationship Id="rId7" Target="https://baike.baidu.com/item/%E9%A6%99%E6%B8%AF%E4%BA%A4%E6%98%93%E6%89%80/4340694" TargetMode="External" Type="http://schemas.openxmlformats.org/officeDocument/2006/relationships/hyperlink"/><Relationship Id="rId8" Target="https://baike.baidu.com/item/%E4%B8%8A%E5%B8%82%E5%85%AC%E5%8F%B8/90498" TargetMode="External" Type="http://schemas.openxmlformats.org/officeDocument/2006/relationships/hyperlink"/><Relationship Id="rId9" Target="https://baike.baidu.com/item/%E6%81%92%E7%94%9F%E9%93%B6%E8%A1%8C"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2024-03-02T07:54:13Z</dcterms:created>
  <dc:creator>Apache POI</dc:creator>
</cp:coreProperties>
</file>