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1"/>
        <w:spacing w:line="320" w:lineRule="auto" w:before="0" w:after="0"/>
        <w:jc w:val="both"/>
      </w:pPr>
      <w:bookmarkStart w:name="3060-1621846615933" w:id="1"/>
      <w:bookmarkEnd w:id="1"/>
      <w:r>
        <w:rPr>
          <w:rFonts w:ascii="微软雅黑" w:hAnsi="微软雅黑" w:cs="微软雅黑" w:eastAsia="微软雅黑"/>
          <w:b w:val="true"/>
          <w:color w:val="000000"/>
          <w:sz w:val="42"/>
        </w:rPr>
        <w:t>一、基金分类</w:t>
      </w:r>
    </w:p>
    <w:p>
      <w:pPr>
        <w:pStyle w:val="2"/>
        <w:spacing w:line="320" w:lineRule="auto" w:before="0" w:after="0"/>
        <w:jc w:val="both"/>
      </w:pPr>
      <w:bookmarkStart w:name="vxQR-1659164162758" w:id="2"/>
      <w:bookmarkEnd w:id="2"/>
      <w:r>
        <w:rPr>
          <w:rFonts w:ascii="微软雅黑" w:hAnsi="微软雅黑" w:cs="微软雅黑" w:eastAsia="微软雅黑"/>
          <w:b w:val="true"/>
          <w:color w:val="000000"/>
          <w:sz w:val="30"/>
        </w:rPr>
        <w:t>1、按照收益区分</w:t>
      </w:r>
    </w:p>
    <w:p>
      <w:pPr>
        <w:spacing w:line="320" w:lineRule="auto"/>
        <w:jc w:val="both"/>
      </w:pPr>
      <w:bookmarkStart w:name="wv7d-1636251042839" w:id="3"/>
      <w:bookmarkEnd w:id="3"/>
      <w:r>
        <w:rPr>
          <w:sz w:val="24"/>
          <w:highlight w:val="white"/>
        </w:rPr>
        <w:t>基金主要分为四类，这四类收益级别是：股票型基金&gt;混合型基金&gt;债券基金&gt;货币基金。</w:t>
      </w:r>
    </w:p>
    <w:p>
      <w:pPr>
        <w:spacing w:line="320" w:lineRule="auto"/>
        <w:jc w:val="both"/>
      </w:pPr>
      <w:bookmarkStart w:name="3040-1628898214022" w:id="4"/>
      <w:bookmarkEnd w:id="4"/>
      <w:r>
        <w:rPr>
          <w:sz w:val="24"/>
          <w:highlight w:val="white"/>
        </w:rPr>
        <w:t>1、货币型基金：主要以银行存款、短期债券、保本型产品为主，像余额宝就是就是属于这类基金。</w:t>
      </w:r>
    </w:p>
    <w:p>
      <w:pPr>
        <w:spacing w:line="320" w:lineRule="auto"/>
        <w:jc w:val="both"/>
      </w:pPr>
      <w:bookmarkStart w:name="5073-1628898242332" w:id="5"/>
      <w:bookmarkEnd w:id="5"/>
      <w:r>
        <w:rPr>
          <w:sz w:val="24"/>
          <w:highlight w:val="white"/>
        </w:rPr>
        <w:t>2、债券型基金：是以国债、金融债等固定收益类金融工具为主要投资对象，适合能接受20%以下亏损的人去买。</w:t>
      </w:r>
    </w:p>
    <w:p>
      <w:pPr>
        <w:spacing w:line="320" w:lineRule="auto"/>
        <w:jc w:val="both"/>
      </w:pPr>
      <w:bookmarkStart w:name="6942-1628898225229" w:id="6"/>
      <w:bookmarkEnd w:id="6"/>
      <w:r>
        <w:rPr>
          <w:sz w:val="24"/>
          <w:highlight w:val="white"/>
        </w:rPr>
        <w:t>3、股票型基金：基金资产80%以上投资于股票，其余可以投资债券和货币。</w:t>
      </w:r>
    </w:p>
    <w:p>
      <w:pPr>
        <w:spacing w:line="320" w:lineRule="auto"/>
        <w:jc w:val="both"/>
      </w:pPr>
      <w:bookmarkStart w:name="9077-1628898235277" w:id="7"/>
      <w:bookmarkEnd w:id="7"/>
      <w:r>
        <w:rPr>
          <w:sz w:val="24"/>
          <w:highlight w:val="white"/>
        </w:rPr>
        <w:t>4、混合型基金：同时投资于股票，债券和货币市场等工具，没有明确投资方向基金。</w:t>
      </w:r>
    </w:p>
    <w:p>
      <w:pPr>
        <w:spacing w:line="320" w:lineRule="auto"/>
        <w:jc w:val="both"/>
      </w:pPr>
      <w:bookmarkStart w:name="2942-1628898235725" w:id="8"/>
      <w:bookmarkEnd w:id="8"/>
    </w:p>
    <w:p>
      <w:pPr>
        <w:pStyle w:val="2"/>
        <w:spacing w:line="320" w:lineRule="auto" w:before="0" w:after="0"/>
        <w:jc w:val="both"/>
      </w:pPr>
      <w:bookmarkStart w:name="a56P-1659161550776" w:id="9"/>
      <w:bookmarkEnd w:id="9"/>
      <w:r>
        <w:rPr>
          <w:rFonts w:ascii="微软雅黑" w:hAnsi="微软雅黑" w:cs="微软雅黑" w:eastAsia="微软雅黑"/>
          <w:b w:val="true"/>
          <w:color w:val="000000"/>
          <w:sz w:val="30"/>
        </w:rPr>
        <w:t>2、按照投资地点区分</w:t>
      </w:r>
    </w:p>
    <w:p>
      <w:pPr>
        <w:jc w:val="both"/>
      </w:pPr>
      <w:bookmarkStart w:name="8rR1-1633223940912" w:id="10"/>
      <w:bookmarkEnd w:id="10"/>
      <w:r>
        <w:rPr>
          <w:sz w:val="24"/>
        </w:rPr>
        <w:t>基金还可以按照投资地点分类，比如分别投资于美国、欧洲、日本的不同QDII（Qualified Domestic Institutional Investor，合格的境内机构投资者）基金。</w:t>
      </w:r>
    </w:p>
    <w:p>
      <w:pPr>
        <w:spacing w:line="320" w:lineRule="auto"/>
        <w:ind w:firstLine="0"/>
        <w:jc w:val="both"/>
      </w:pPr>
      <w:bookmarkStart w:name="c3PI-1636251007908" w:id="11"/>
      <w:bookmarkEnd w:id="11"/>
    </w:p>
    <w:p>
      <w:pPr>
        <w:pStyle w:val="2"/>
        <w:spacing w:line="320" w:lineRule="auto" w:before="0" w:after="0"/>
        <w:jc w:val="both"/>
      </w:pPr>
      <w:bookmarkStart w:name="Newv-1659161550777" w:id="12"/>
      <w:bookmarkEnd w:id="12"/>
      <w:r>
        <w:rPr>
          <w:rFonts w:ascii="微软雅黑" w:hAnsi="微软雅黑" w:cs="微软雅黑" w:eastAsia="微软雅黑"/>
          <w:b w:val="true"/>
          <w:color w:val="000000"/>
          <w:sz w:val="30"/>
        </w:rPr>
        <w:t>3、按照ABC区分</w:t>
      </w:r>
    </w:p>
    <w:p>
      <w:pPr>
        <w:spacing w:line="320" w:lineRule="auto"/>
        <w:ind w:firstLine="0"/>
        <w:jc w:val="both"/>
      </w:pPr>
      <w:bookmarkStart w:name="E0vo-1636251008150" w:id="13"/>
      <w:bookmarkEnd w:id="13"/>
      <w:r>
        <w:rPr>
          <w:color w:val="121212"/>
          <w:sz w:val="24"/>
          <w:highlight w:val="white"/>
        </w:rPr>
        <w:t>现在的基金有ABC三类，ABC类基金只是费用收取方式不同，本质上还是一只基金。</w:t>
      </w:r>
    </w:p>
    <w:p>
      <w:pPr>
        <w:spacing w:line="320" w:lineRule="auto"/>
        <w:jc w:val="both"/>
      </w:pPr>
      <w:bookmarkStart w:name="7978-1619854608839" w:id="14"/>
      <w:bookmarkEnd w:id="14"/>
    </w:p>
    <w:p>
      <w:pPr>
        <w:spacing w:line="320" w:lineRule="auto"/>
        <w:ind w:firstLine="0"/>
        <w:jc w:val="both"/>
      </w:pPr>
      <w:bookmarkStart w:name="1165-1619854608984" w:id="15"/>
      <w:bookmarkEnd w:id="15"/>
      <w:r>
        <w:rPr>
          <w:color w:val="121212"/>
          <w:sz w:val="24"/>
          <w:highlight w:val="white"/>
        </w:rPr>
        <w:t>A代表前端收取申购费，就是买的时候提前把申购费给交了；</w:t>
      </w:r>
    </w:p>
    <w:p>
      <w:pPr>
        <w:spacing w:line="320" w:lineRule="auto"/>
        <w:ind w:firstLine="0"/>
        <w:jc w:val="both"/>
      </w:pPr>
      <w:bookmarkStart w:name="4966-1619854617008" w:id="16"/>
      <w:bookmarkEnd w:id="16"/>
      <w:r>
        <w:rPr>
          <w:color w:val="121212"/>
          <w:sz w:val="24"/>
          <w:highlight w:val="white"/>
        </w:rPr>
        <w:t>B代表后端收取申购费，卖的时候才收申购费；</w:t>
      </w:r>
    </w:p>
    <w:p>
      <w:pPr>
        <w:spacing w:line="320" w:lineRule="auto"/>
        <w:ind w:firstLine="0"/>
        <w:jc w:val="both"/>
      </w:pPr>
      <w:bookmarkStart w:name="8240-1619854624070" w:id="17"/>
      <w:bookmarkEnd w:id="17"/>
      <w:r>
        <w:rPr>
          <w:color w:val="121212"/>
          <w:sz w:val="24"/>
          <w:highlight w:val="white"/>
        </w:rPr>
        <w:t>C则表示不收取申购费，但多了一个销售服务费，按年收取。</w:t>
      </w:r>
    </w:p>
    <w:p>
      <w:pPr>
        <w:spacing w:line="320" w:lineRule="auto"/>
        <w:jc w:val="both"/>
      </w:pPr>
      <w:bookmarkStart w:name="6094-1619854634115" w:id="18"/>
      <w:bookmarkEnd w:id="18"/>
    </w:p>
    <w:p>
      <w:pPr>
        <w:spacing w:line="320" w:lineRule="auto"/>
        <w:ind w:firstLine="0"/>
        <w:jc w:val="both"/>
      </w:pPr>
      <w:bookmarkStart w:name="3622-1619854634259" w:id="19"/>
      <w:bookmarkEnd w:id="19"/>
      <w:r>
        <w:rPr>
          <w:color w:val="121212"/>
          <w:sz w:val="24"/>
          <w:highlight w:val="white"/>
        </w:rPr>
        <w:t>先来看看AB的差别，现在第三方基金平台申购费率通常都打一折，这么一来，后端收费就几乎没什么优势了，所以B类基金已不多见，尤其是新成立的指数基金中，A/C搭配已是标配。</w:t>
      </w:r>
    </w:p>
    <w:p>
      <w:pPr>
        <w:spacing w:line="320" w:lineRule="auto"/>
        <w:jc w:val="both"/>
      </w:pPr>
      <w:bookmarkStart w:name="6861-1619854665128" w:id="20"/>
      <w:bookmarkEnd w:id="20"/>
    </w:p>
    <w:p>
      <w:pPr>
        <w:spacing w:line="320" w:lineRule="auto"/>
        <w:ind w:firstLine="0"/>
        <w:jc w:val="both"/>
      </w:pPr>
      <w:bookmarkStart w:name="5211-1619854665277" w:id="21"/>
      <w:bookmarkEnd w:id="21"/>
      <w:r>
        <w:rPr>
          <w:color w:val="121212"/>
          <w:sz w:val="24"/>
          <w:highlight w:val="white"/>
        </w:rPr>
        <w:t>那A类和C类之间又该怎么选呢？</w:t>
      </w:r>
    </w:p>
    <w:p>
      <w:pPr>
        <w:spacing w:line="320" w:lineRule="auto"/>
        <w:ind w:firstLine="0"/>
        <w:jc w:val="both"/>
      </w:pPr>
      <w:bookmarkStart w:name="9486-1619854673636" w:id="22"/>
      <w:bookmarkEnd w:id="22"/>
      <w:r>
        <w:rPr>
          <w:color w:val="121212"/>
          <w:sz w:val="24"/>
          <w:highlight w:val="white"/>
        </w:rPr>
        <w:t>预计持有时间较短的，选C类更划算，因为C类是按照持有时间收费，时间段，费用就低；确定持有时间比较长，一般是一年以上，A类更划算。</w:t>
      </w:r>
    </w:p>
    <w:p>
      <w:pPr>
        <w:spacing w:line="320" w:lineRule="auto"/>
        <w:ind w:firstLine="0"/>
        <w:jc w:val="both"/>
      </w:pPr>
      <w:bookmarkStart w:name="0Wab-1636251195326" w:id="23"/>
      <w:bookmarkEnd w:id="23"/>
    </w:p>
    <w:p>
      <w:pPr>
        <w:pStyle w:val="2"/>
        <w:spacing w:line="240" w:lineRule="auto" w:before="0" w:after="0"/>
        <w:jc w:val="both"/>
      </w:pPr>
      <w:bookmarkStart w:name="muPn-1659161550778" w:id="24"/>
      <w:bookmarkEnd w:id="24"/>
      <w:r>
        <w:rPr>
          <w:rFonts w:ascii="微软雅黑" w:hAnsi="微软雅黑" w:cs="微软雅黑" w:eastAsia="微软雅黑"/>
          <w:b w:val="true"/>
          <w:color w:val="000000"/>
          <w:sz w:val="30"/>
        </w:rPr>
        <w:t>4、基金的申购费和赎回费</w:t>
      </w:r>
    </w:p>
    <w:p>
      <w:pPr>
        <w:spacing w:line="320" w:lineRule="auto"/>
        <w:ind w:firstLine="0"/>
        <w:jc w:val="both"/>
      </w:pPr>
      <w:bookmarkStart w:name="gbuE-1641012680224" w:id="25"/>
      <w:bookmarkEnd w:id="25"/>
      <w:r>
        <w:rPr>
          <w:color w:val="222222"/>
          <w:sz w:val="24"/>
          <w:highlight w:val="white"/>
        </w:rPr>
        <w:t>基金的申购费和赎回费，并不是基金公司赚钱的主要收入来源，如果你肯把资金长期交给基金公司投资管理，他们会给你开出很低廉的申赎费用，甚至免费申赎。</w:t>
      </w:r>
    </w:p>
    <w:p>
      <w:pPr>
        <w:spacing w:line="320" w:lineRule="auto"/>
        <w:jc w:val="both"/>
      </w:pPr>
      <w:bookmarkStart w:name="5994-1613000786460" w:id="26"/>
      <w:bookmarkEnd w:id="26"/>
    </w:p>
    <w:p>
      <w:pPr>
        <w:spacing w:line="320" w:lineRule="auto"/>
        <w:ind w:firstLine="0"/>
        <w:jc w:val="both"/>
      </w:pPr>
      <w:bookmarkStart w:name="5333-1613000786626" w:id="27"/>
      <w:bookmarkEnd w:id="27"/>
      <w:r>
        <w:rPr>
          <w:color w:val="222222"/>
          <w:sz w:val="24"/>
          <w:highlight w:val="white"/>
        </w:rPr>
        <w:t>申赎费用是为惩罚那些短期内频繁进出的投机分子所设立的门槛。如果你投资了2~3年以上，赎回费就是0，如果你申购的是后端收费的基金，持有了超过5年，那么你的申购和赎回就是零费用。</w:t>
      </w:r>
    </w:p>
    <w:p>
      <w:pPr>
        <w:spacing w:line="320" w:lineRule="auto"/>
        <w:jc w:val="both"/>
      </w:pPr>
      <w:bookmarkStart w:name="1927-1613000825525" w:id="28"/>
      <w:bookmarkEnd w:id="28"/>
    </w:p>
    <w:p>
      <w:pPr>
        <w:spacing w:line="320" w:lineRule="auto"/>
        <w:ind w:firstLine="0"/>
        <w:jc w:val="both"/>
      </w:pPr>
      <w:bookmarkStart w:name="8757-1613000825696" w:id="29"/>
      <w:bookmarkEnd w:id="29"/>
      <w:r>
        <w:rPr>
          <w:color w:val="222222"/>
          <w:sz w:val="24"/>
          <w:highlight w:val="white"/>
        </w:rPr>
        <w:t>基金很怕短期内巨额的申赎，这样会打乱一只基金正常的投资节奏，拖累基金的表现，所以基金要发力的时候，通常会关闭申购一段时间，而这段时间内，基金的盈利表现往往相当亮眼。</w:t>
      </w:r>
    </w:p>
    <w:p>
      <w:pPr>
        <w:spacing w:line="320" w:lineRule="auto"/>
        <w:jc w:val="both"/>
      </w:pPr>
      <w:bookmarkStart w:name="1336-1613000836159" w:id="30"/>
      <w:bookmarkEnd w:id="30"/>
    </w:p>
    <w:p>
      <w:pPr>
        <w:spacing w:line="320" w:lineRule="auto"/>
        <w:ind w:firstLine="0"/>
        <w:jc w:val="both"/>
      </w:pPr>
      <w:bookmarkStart w:name="4343-1613000836326" w:id="31"/>
      <w:bookmarkEnd w:id="31"/>
      <w:r>
        <w:rPr>
          <w:color w:val="222222"/>
          <w:sz w:val="24"/>
          <w:highlight w:val="white"/>
        </w:rPr>
        <w:t>如果短期申赎没有高收费的限制，那么太多人今天把钱打进，明天一个风吹草动又全部拿走。这会给一个基金的投资带来非常大的管理问题，基金经理就无法掌控这只基金的投资方案。</w:t>
      </w:r>
    </w:p>
    <w:p>
      <w:pPr>
        <w:spacing w:line="320" w:lineRule="auto"/>
        <w:ind w:firstLine="0"/>
        <w:jc w:val="both"/>
      </w:pPr>
      <w:bookmarkStart w:name="ig3G-1636251213896" w:id="32"/>
      <w:bookmarkEnd w:id="32"/>
    </w:p>
    <w:p>
      <w:pPr>
        <w:pStyle w:val="2"/>
        <w:spacing w:line="320" w:lineRule="auto" w:before="0" w:after="0"/>
        <w:jc w:val="both"/>
      </w:pPr>
      <w:bookmarkStart w:name="JwWc-1659161550779" w:id="33"/>
      <w:bookmarkEnd w:id="33"/>
      <w:r>
        <w:rPr>
          <w:rFonts w:ascii="微软雅黑" w:hAnsi="微软雅黑" w:cs="微软雅黑" w:eastAsia="微软雅黑"/>
          <w:b w:val="true"/>
          <w:color w:val="000000"/>
          <w:sz w:val="30"/>
        </w:rPr>
        <w:t>6、ETF（交易型开放式指数基金）</w:t>
      </w:r>
    </w:p>
    <w:p>
      <w:pPr>
        <w:spacing w:line="322" w:lineRule="auto"/>
        <w:jc w:val="both"/>
      </w:pPr>
      <w:bookmarkStart w:name="Eu3U-1636251195692" w:id="34"/>
      <w:bookmarkEnd w:id="34"/>
      <w:r>
        <w:rPr>
          <w:rFonts w:ascii="Arial" w:hAnsi="Arial" w:cs="Arial" w:eastAsia="Arial"/>
          <w:color w:val="333333"/>
          <w:sz w:val="24"/>
          <w:highlight w:val="white"/>
        </w:rPr>
        <w:t>交易型开放式指数基金，通常又被称为</w:t>
      </w:r>
      <w:hyperlink r:id="rId3">
        <w:r>
          <w:rPr>
            <w:color w:val="003884"/>
            <w:sz w:val="24"/>
          </w:rPr>
          <w:t>交易所交易基金</w:t>
        </w:r>
      </w:hyperlink>
      <w:r>
        <w:rPr>
          <w:rFonts w:ascii="Arial" w:hAnsi="Arial" w:cs="Arial" w:eastAsia="Arial"/>
          <w:color w:val="333333"/>
          <w:sz w:val="24"/>
          <w:highlight w:val="white"/>
        </w:rPr>
        <w:t>（Exchange Traded Fund，简称ETF），是一种在</w:t>
      </w:r>
      <w:hyperlink r:id="rId4">
        <w:r>
          <w:rPr>
            <w:color w:val="003884"/>
            <w:sz w:val="24"/>
          </w:rPr>
          <w:t>交易</w:t>
        </w:r>
      </w:hyperlink>
      <w:r>
        <w:rPr>
          <w:rFonts w:ascii="Arial" w:hAnsi="Arial" w:cs="Arial" w:eastAsia="Arial"/>
          <w:color w:val="333333"/>
          <w:sz w:val="24"/>
          <w:highlight w:val="white"/>
        </w:rPr>
        <w:t>所上市交易的、基金份额可变的开放式基金。</w:t>
      </w:r>
    </w:p>
    <w:p>
      <w:pPr>
        <w:spacing w:line="322" w:lineRule="auto"/>
        <w:jc w:val="both"/>
      </w:pPr>
      <w:bookmarkStart w:name="7xSQ-1641013310119" w:id="35"/>
      <w:bookmarkEnd w:id="35"/>
    </w:p>
    <w:p>
      <w:pPr>
        <w:pStyle w:val="2"/>
        <w:spacing w:line="322" w:lineRule="auto" w:before="0" w:after="0"/>
        <w:jc w:val="both"/>
      </w:pPr>
      <w:bookmarkStart w:name="bcVL-1708735572302" w:id="36"/>
      <w:bookmarkEnd w:id="36"/>
      <w:r>
        <w:rPr>
          <w:rFonts w:ascii="微软雅黑" w:hAnsi="微软雅黑" w:cs="微软雅黑" w:eastAsia="微软雅黑"/>
          <w:b w:val="true"/>
          <w:sz w:val="30"/>
        </w:rPr>
        <w:t>7、公募基金</w:t>
      </w:r>
    </w:p>
    <w:p>
      <w:pPr/>
      <w:bookmarkStart w:name="100L-1708389898765" w:id="37"/>
      <w:bookmarkEnd w:id="37"/>
      <w:r>
        <w:drawing>
          <wp:inline distT="0" distR="0" distB="0" distL="0">
            <wp:extent cx="5267325" cy="9744551"/>
            <wp:docPr id="0" name="Drawing 0" descr="image.png"/>
            <a:graphic xmlns:a="http://schemas.openxmlformats.org/drawingml/2006/main">
              <a:graphicData uri="http://schemas.openxmlformats.org/drawingml/2006/picture">
                <pic:pic xmlns:pic="http://schemas.openxmlformats.org/drawingml/2006/picture">
                  <pic:nvPicPr>
                    <pic:cNvPr id="0" name="Picture 0" descr="image.png"/>
                    <pic:cNvPicPr>
                      <a:picLocks noChangeAspect="true"/>
                    </pic:cNvPicPr>
                  </pic:nvPicPr>
                  <pic:blipFill>
                    <a:blip r:embed="rId5"/>
                    <a:stretch>
                      <a:fillRect/>
                    </a:stretch>
                  </pic:blipFill>
                  <pic:spPr>
                    <a:xfrm>
                      <a:off x="0" y="0"/>
                      <a:ext cx="5267325" cy="9744551"/>
                    </a:xfrm>
                    <a:prstGeom prst="rect">
                      <a:avLst/>
                    </a:prstGeom>
                  </pic:spPr>
                </pic:pic>
              </a:graphicData>
            </a:graphic>
          </wp:inline>
        </w:drawing>
      </w:r>
    </w:p>
    <w:p>
      <w:pPr>
        <w:pStyle w:val="2"/>
        <w:spacing w:line="320" w:lineRule="auto" w:before="0" w:after="0"/>
        <w:ind w:firstLine="0"/>
        <w:jc w:val="both"/>
      </w:pPr>
      <w:bookmarkStart w:name="Dykh-1659161550780" w:id="38"/>
      <w:bookmarkEnd w:id="38"/>
    </w:p>
    <w:p>
      <w:pPr>
        <w:pStyle w:val="2"/>
        <w:spacing w:line="320" w:lineRule="auto" w:before="0" w:after="0"/>
        <w:ind w:firstLine="0"/>
        <w:jc w:val="both"/>
      </w:pPr>
      <w:bookmarkStart w:name="bQPI-1708735612217" w:id="39"/>
      <w:bookmarkEnd w:id="39"/>
      <w:r>
        <w:rPr>
          <w:rFonts w:ascii="微软雅黑" w:hAnsi="微软雅黑" w:cs="微软雅黑" w:eastAsia="微软雅黑"/>
          <w:b w:val="true"/>
          <w:color w:val="000000"/>
          <w:sz w:val="30"/>
        </w:rPr>
        <w:t>8、私募基金</w:t>
      </w:r>
    </w:p>
    <w:p>
      <w:pPr>
        <w:spacing w:line="320" w:lineRule="auto"/>
        <w:ind w:firstLine="0"/>
        <w:jc w:val="both"/>
      </w:pPr>
      <w:bookmarkStart w:name="2079-1628867473258" w:id="40"/>
      <w:bookmarkEnd w:id="40"/>
      <w:r>
        <w:rPr>
          <w:sz w:val="24"/>
        </w:rPr>
        <w:t>私募基金，是指以非公开方式向特定投资者募集资金并以特定目标为投资对象的证券投资基金。私募基金是以大众传播以外的手段招募，发起人集合非公众性多元主体的资金设立投资基金，进行证券投资。</w:t>
      </w:r>
    </w:p>
    <w:p>
      <w:pPr>
        <w:spacing w:line="320" w:lineRule="auto"/>
        <w:ind w:firstLine="420"/>
        <w:jc w:val="both"/>
      </w:pPr>
      <w:bookmarkStart w:name="7682-1628867498684" w:id="41"/>
      <w:bookmarkEnd w:id="41"/>
    </w:p>
    <w:p>
      <w:pPr>
        <w:spacing w:line="320" w:lineRule="auto"/>
        <w:ind w:firstLine="0"/>
        <w:jc w:val="both"/>
      </w:pPr>
      <w:bookmarkStart w:name="7256-1628867498851" w:id="42"/>
      <w:bookmarkEnd w:id="42"/>
      <w:r>
        <w:rPr>
          <w:sz w:val="24"/>
        </w:rPr>
        <w:t>私募基金是指一种针对特定投资者非公开募集资金并成立运作的投资基金。简而言之，就是你我把钱放在一起，找一个更专业的人或机构来管理，他从中提取一定的管理费，未来实现盈利之后他将分走一定的比例。但这个也不是没有门槛的，需要满足两个条件，一是不能公开募集，二是投资金额有要求，一般都是一百万起。</w:t>
      </w:r>
    </w:p>
    <w:p>
      <w:pPr>
        <w:spacing w:line="320" w:lineRule="auto"/>
        <w:ind w:firstLine="0"/>
        <w:jc w:val="both"/>
      </w:pPr>
      <w:bookmarkStart w:name="4937-1628867560574" w:id="43"/>
      <w:bookmarkEnd w:id="43"/>
    </w:p>
    <w:p>
      <w:pPr>
        <w:spacing w:line="320" w:lineRule="auto"/>
        <w:ind w:firstLine="0"/>
        <w:jc w:val="both"/>
      </w:pPr>
      <w:bookmarkStart w:name="9HX6-1641013318877" w:id="44"/>
      <w:bookmarkEnd w:id="44"/>
      <w:r>
        <w:rPr>
          <w:sz w:val="24"/>
        </w:rPr>
        <w:t>此外，私募股权基金可分为四类：私募证券基金、创业投资基金、私募股权基金、其他类别私募基金。其中：</w:t>
      </w:r>
    </w:p>
    <w:p>
      <w:pPr>
        <w:spacing w:line="320" w:lineRule="auto"/>
        <w:ind w:firstLine="0"/>
        <w:jc w:val="both"/>
      </w:pPr>
      <w:bookmarkStart w:name="9640-1628867574643" w:id="45"/>
      <w:bookmarkEnd w:id="45"/>
      <w:r>
        <w:rPr>
          <w:sz w:val="24"/>
        </w:rPr>
        <w:t>1、私募证券基金，也叫阳光私募基金，主要投资于二级市场的股票、债券、期货、期权、基金份额；</w:t>
      </w:r>
    </w:p>
    <w:p>
      <w:pPr>
        <w:spacing w:line="320" w:lineRule="auto"/>
        <w:ind w:firstLine="0"/>
        <w:jc w:val="both"/>
      </w:pPr>
      <w:bookmarkStart w:name="6556-1628867576868" w:id="46"/>
      <w:bookmarkEnd w:id="46"/>
      <w:r>
        <w:rPr>
          <w:sz w:val="24"/>
        </w:rPr>
        <w:t>2、创业投资基金，主要向处于创业各阶段，成长性较高的公司的股权进行投资；</w:t>
      </w:r>
    </w:p>
    <w:p>
      <w:pPr>
        <w:spacing w:line="320" w:lineRule="auto"/>
        <w:ind w:firstLine="0"/>
        <w:jc w:val="both"/>
      </w:pPr>
      <w:bookmarkStart w:name="4750-1628867578545" w:id="47"/>
      <w:bookmarkEnd w:id="47"/>
      <w:r>
        <w:rPr>
          <w:sz w:val="24"/>
        </w:rPr>
        <w:t>3、私募股权基金，主要投资于非</w:t>
      </w:r>
      <w:hyperlink r:id="rId6">
        <w:r>
          <w:rPr>
            <w:color w:val="003884"/>
            <w:sz w:val="24"/>
          </w:rPr>
          <w:t>上市公司</w:t>
        </w:r>
      </w:hyperlink>
      <w:r>
        <w:rPr>
          <w:sz w:val="24"/>
        </w:rPr>
        <w:t>股权的私募股权基金，风险资本基金除外；</w:t>
      </w:r>
    </w:p>
    <w:p>
      <w:pPr>
        <w:spacing w:line="320" w:lineRule="auto"/>
        <w:ind w:firstLine="0"/>
        <w:jc w:val="both"/>
      </w:pPr>
      <w:bookmarkStart w:name="8268-1628867579948" w:id="48"/>
      <w:bookmarkEnd w:id="48"/>
      <w:r>
        <w:rPr>
          <w:sz w:val="24"/>
        </w:rPr>
        <w:t>4、其他类别的私人股本，除了证券及其衍生品和其他领域的股权投资基金。</w:t>
      </w:r>
    </w:p>
    <w:p>
      <w:pPr>
        <w:spacing w:line="320" w:lineRule="auto"/>
        <w:ind w:firstLine="0"/>
        <w:jc w:val="both"/>
      </w:pPr>
      <w:bookmarkStart w:name="th2n-1659159331361" w:id="49"/>
      <w:bookmarkEnd w:id="49"/>
    </w:p>
    <w:p>
      <w:pPr>
        <w:pStyle w:val="1"/>
        <w:spacing w:line="320" w:lineRule="auto" w:before="0" w:after="0"/>
        <w:jc w:val="both"/>
      </w:pPr>
      <w:bookmarkStart w:name="6Kak-1708389892305" w:id="50"/>
      <w:bookmarkEnd w:id="50"/>
      <w:r>
        <w:rPr>
          <w:rFonts w:ascii="微软雅黑" w:hAnsi="微软雅黑" w:cs="微软雅黑" w:eastAsia="微软雅黑"/>
          <w:b w:val="true"/>
          <w:sz w:val="40"/>
        </w:rPr>
        <w:t>二、知识碎片</w:t>
      </w:r>
    </w:p>
    <w:p>
      <w:pPr>
        <w:pStyle w:val="2"/>
        <w:spacing w:line="320" w:lineRule="auto" w:before="0" w:after="0"/>
        <w:jc w:val="both"/>
      </w:pPr>
      <w:bookmarkStart w:name="Hh3l-1708389939809" w:id="51"/>
      <w:bookmarkEnd w:id="51"/>
      <w:r>
        <w:rPr>
          <w:rFonts w:ascii="微软雅黑" w:hAnsi="微软雅黑" w:cs="微软雅黑" w:eastAsia="微软雅黑"/>
          <w:b w:val="true"/>
          <w:color w:val="000000"/>
          <w:sz w:val="30"/>
        </w:rPr>
        <w:t>中概</w:t>
      </w:r>
    </w:p>
    <w:p>
      <w:pPr>
        <w:spacing w:line="320" w:lineRule="auto"/>
        <w:jc w:val="both"/>
      </w:pPr>
      <w:bookmarkStart w:name="6394-1625972119269" w:id="52"/>
      <w:bookmarkEnd w:id="52"/>
      <w:r>
        <w:rPr>
          <w:sz w:val="24"/>
        </w:rPr>
        <w:t>中概股就是中国概念股票，泛指海外（主要为美股、港股）上市的中国股票统称；</w:t>
      </w:r>
    </w:p>
    <w:p>
      <w:pPr>
        <w:spacing w:line="320" w:lineRule="auto"/>
        <w:jc w:val="both"/>
      </w:pPr>
      <w:bookmarkStart w:name="2851-1625972119269" w:id="53"/>
      <w:bookmarkEnd w:id="53"/>
      <w:r>
        <w:rPr>
          <w:sz w:val="24"/>
        </w:rPr>
        <w:t>中概互联就是中国概念互联网相关股票，泛指在海外（美股、港股）上市的中国互联网相关股票。</w:t>
      </w:r>
    </w:p>
    <w:p>
      <w:pPr>
        <w:spacing w:line="320" w:lineRule="auto"/>
        <w:jc w:val="both"/>
      </w:pPr>
      <w:bookmarkStart w:name="4086-1625972119269" w:id="54"/>
      <w:bookmarkEnd w:id="54"/>
      <w:r>
        <w:rPr>
          <w:sz w:val="24"/>
        </w:rPr>
        <w:t>主要包含：</w:t>
      </w:r>
    </w:p>
    <w:p>
      <w:pPr>
        <w:spacing w:line="320" w:lineRule="auto"/>
        <w:jc w:val="both"/>
      </w:pPr>
      <w:bookmarkStart w:name="4863-1625972119269" w:id="55"/>
      <w:bookmarkEnd w:id="55"/>
      <w:r>
        <w:rPr>
          <w:sz w:val="24"/>
        </w:rPr>
        <w:t>港股→腾讯、美团、快手、小米…</w:t>
      </w:r>
    </w:p>
    <w:p>
      <w:pPr>
        <w:spacing w:line="320" w:lineRule="auto"/>
        <w:jc w:val="both"/>
      </w:pPr>
      <w:bookmarkStart w:name="9997-1625972119269" w:id="56"/>
      <w:bookmarkEnd w:id="56"/>
      <w:r>
        <w:rPr>
          <w:sz w:val="24"/>
        </w:rPr>
        <w:t>美股→阿里巴巴、拼多多、京东、百度、网易、贝壳…</w:t>
      </w:r>
    </w:p>
    <w:p>
      <w:pPr>
        <w:spacing w:line="320" w:lineRule="auto"/>
        <w:jc w:val="both"/>
      </w:pPr>
      <w:bookmarkStart w:name="LPp9-1708389980802" w:id="57"/>
      <w:bookmarkEnd w:id="57"/>
    </w:p>
    <w:p>
      <w:pPr>
        <w:pStyle w:val="2"/>
        <w:spacing w:line="320" w:lineRule="auto" w:before="0" w:after="0"/>
        <w:jc w:val="both"/>
      </w:pPr>
      <w:bookmarkStart w:name="Qzuc-1708389981236" w:id="58"/>
      <w:bookmarkEnd w:id="58"/>
      <w:r>
        <w:rPr>
          <w:rFonts w:ascii="微软雅黑" w:hAnsi="微软雅黑" w:cs="微软雅黑" w:eastAsia="微软雅黑"/>
          <w:b w:val="true"/>
          <w:sz w:val="30"/>
        </w:rPr>
        <w:t>债券基金</w:t>
      </w:r>
    </w:p>
    <w:p>
      <w:pPr/>
      <w:bookmarkStart w:name="A0RN-1708389989333" w:id="59"/>
      <w:bookmarkEnd w:id="59"/>
      <w:r>
        <w:rPr>
          <w:rFonts w:ascii="Arial" w:hAnsi="Arial" w:cs="Arial" w:eastAsia="Arial"/>
          <w:color w:val="333333"/>
          <w:sz w:val="24"/>
          <w:highlight w:val="white"/>
        </w:rPr>
        <w:t>债券基金的收益来源：</w:t>
      </w:r>
    </w:p>
    <w:p>
      <w:pPr/>
      <w:bookmarkStart w:name="L1S0-1708390003436" w:id="60"/>
      <w:bookmarkEnd w:id="60"/>
      <w:r>
        <w:rPr>
          <w:rFonts w:ascii="Arial" w:hAnsi="Arial" w:cs="Arial" w:eastAsia="Arial"/>
          <w:color w:val="333333"/>
          <w:sz w:val="24"/>
          <w:highlight w:val="white"/>
        </w:rPr>
        <w:t>1、票息</w:t>
      </w:r>
    </w:p>
    <w:p>
      <w:pPr/>
      <w:bookmarkStart w:name="zQri-1708390003438" w:id="61"/>
      <w:bookmarkEnd w:id="61"/>
      <w:r>
        <w:rPr>
          <w:rFonts w:ascii="Arial" w:hAnsi="Arial" w:cs="Arial" w:eastAsia="Arial"/>
          <w:color w:val="333333"/>
          <w:sz w:val="24"/>
          <w:highlight w:val="white"/>
        </w:rPr>
        <w:t>2、资本利得</w:t>
      </w:r>
    </w:p>
    <w:p>
      <w:pPr/>
      <w:bookmarkStart w:name="mUBC-1708390003440" w:id="62"/>
      <w:bookmarkEnd w:id="62"/>
      <w:r>
        <w:rPr>
          <w:rFonts w:ascii="Arial" w:hAnsi="Arial" w:cs="Arial" w:eastAsia="Arial"/>
          <w:color w:val="333333"/>
          <w:sz w:val="24"/>
          <w:highlight w:val="white"/>
        </w:rPr>
        <w:t>3、杠杆收入</w:t>
      </w:r>
    </w:p>
    <w:p>
      <w:pPr/>
      <w:bookmarkStart w:name="oxTc-1708474263117" w:id="63"/>
      <w:bookmarkEnd w:id="63"/>
    </w:p>
    <w:p>
      <w:pPr>
        <w:pStyle w:val="2"/>
        <w:spacing w:line="240" w:lineRule="auto" w:before="0" w:after="0"/>
      </w:pPr>
      <w:bookmarkStart w:name="p8JU-1708474265237" w:id="64"/>
      <w:bookmarkEnd w:id="64"/>
      <w:r>
        <w:rPr>
          <w:rFonts w:ascii="Arial" w:hAnsi="Arial" w:cs="Arial" w:eastAsia="Arial"/>
          <w:b w:val="true"/>
          <w:color w:val="333333"/>
          <w:sz w:val="30"/>
          <w:highlight w:val="white"/>
        </w:rPr>
        <w:t>平准基金</w:t>
      </w:r>
    </w:p>
    <w:p>
      <w:pPr/>
      <w:bookmarkStart w:name="F8eG-1708474263267" w:id="65"/>
      <w:bookmarkEnd w:id="65"/>
      <w:r>
        <w:rPr>
          <w:rFonts w:ascii="Arial" w:hAnsi="Arial" w:cs="Arial" w:eastAsia="Arial"/>
          <w:color w:val="333333"/>
          <w:sz w:val="24"/>
          <w:highlight w:val="white"/>
        </w:rPr>
        <w:t>平准基金（Stabilization Fund）是指由中央银行持有并通过证监会和财政部等特定机构依法设立的基金。其基本职责是稳定证券市场，防止暴涨暴跌。</w:t>
      </w:r>
    </w:p>
    <w:p>
      <w:pPr/>
      <w:bookmarkStart w:name="V1LR-1708474263680" w:id="66"/>
      <w:bookmarkEnd w:id="66"/>
      <w:r>
        <w:rPr>
          <w:rFonts w:ascii="Arial" w:hAnsi="Arial" w:cs="Arial" w:eastAsia="Arial"/>
          <w:color w:val="333333"/>
          <w:sz w:val="24"/>
          <w:highlight w:val="white"/>
        </w:rPr>
        <w:t>买入的产品主要包括大盘蓝筹股、权重股、股指成分股等直接影响股市涨跌的个股，以及债券和ETF等其他金融产品。</w:t>
      </w:r>
    </w:p>
  </w:body>
</w:document>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https://baike.baidu.com/item/%E4%BA%A4%E6%98%93%E6%89%80%E4%BA%A4%E6%98%93%E5%9F%BA%E9%87%91/8841419" TargetMode="External" Type="http://schemas.openxmlformats.org/officeDocument/2006/relationships/hyperlink"/><Relationship Id="rId4" Target="https://baike.baidu.com/item/%E4%BA%A4%E6%98%93/32757" TargetMode="External" Type="http://schemas.openxmlformats.org/officeDocument/2006/relationships/hyperlink"/><Relationship Id="rId5" Target="media/image1.png" Type="http://schemas.openxmlformats.org/officeDocument/2006/relationships/image"/><Relationship Id="rId6" Target="https://jin.baidu.com/article/3475048.html"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2024-03-02T07:55:33Z</dcterms:created>
  <dc:creator>Apache POI</dc:creator>
</cp:coreProperties>
</file>