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center"/>
        <w:rPr>
          <w:rFonts w:ascii="Times New Roman" w:hAnsi="Times New Roman"/>
          <w:color w:val="000000"/>
        </w:rPr>
      </w:pPr>
      <w:r>
        <w:rPr>
          <w:rFonts w:eastAsia="Calibri" w:cs="Calibri" w:ascii="Times New Roman" w:hAnsi="Times New Roman"/>
          <w:b/>
          <w:bCs/>
          <w:color w:val="000000"/>
          <w:sz w:val="32"/>
          <w:szCs w:val="32"/>
        </w:rPr>
        <w:t>Домашнє завдання до теми 12</w:t>
      </w:r>
    </w:p>
    <w:p>
      <w:pPr>
        <w:pStyle w:val="Normal"/>
        <w:spacing w:before="0" w:after="400"/>
        <w:jc w:val="center"/>
        <w:rPr>
          <w:rFonts w:ascii="Times New Roman" w:hAnsi="Times New Roman"/>
          <w:color w:val="000000"/>
        </w:rPr>
      </w:pPr>
      <w:r>
        <w:rPr>
          <w:rFonts w:eastAsia="Calibri" w:cs="Calibri" w:ascii="Times New Roman" w:hAnsi="Times New Roman"/>
          <w:b/>
          <w:bCs/>
          <w:color w:val="000000"/>
          <w:sz w:val="26"/>
          <w:szCs w:val="26"/>
        </w:rPr>
        <w:t>Оцінка рівня зрілості кібербезпеки організації</w:t>
      </w:r>
    </w:p>
    <w:p>
      <w:pPr>
        <w:pStyle w:val="Heading1"/>
        <w:spacing w:before="0" w:after="0"/>
        <w:jc w:val="both"/>
        <w:rPr>
          <w:rFonts w:ascii="Times New Roman" w:hAnsi="Times New Roman"/>
          <w:color w:val="000000"/>
        </w:rPr>
      </w:pPr>
      <w:r>
        <w:rPr>
          <w:rFonts w:eastAsia="Calibri" w:cs="Calibri" w:ascii="Times New Roman" w:hAnsi="Times New Roman"/>
          <w:b/>
          <w:bCs/>
          <w:color w:val="000000"/>
        </w:rPr>
        <w:t>1. Опис компанії</w:t>
      </w:r>
    </w:p>
    <w:p>
      <w:pPr>
        <w:pStyle w:val="Normal"/>
        <w:spacing w:lineRule="exact" w:line="300" w:before="0" w:after="150"/>
        <w:jc w:val="both"/>
        <w:rPr>
          <w:rFonts w:ascii="Times New Roman" w:hAnsi="Times New Roman"/>
          <w:color w:val="000000"/>
        </w:rPr>
      </w:pPr>
      <w:r>
        <w:rPr>
          <w:rFonts w:eastAsia="Calibri" w:cs="Calibri" w:ascii="Times New Roman" w:hAnsi="Times New Roman"/>
          <w:color w:val="000000"/>
        </w:rPr>
        <w:t>Об'єктом оцінки є проєкт компанії умовно "Uni DevOps Labs" — команда, що розробляє та експлуатує веб-застосунок на базі Django, орієнтований на надання онлайн-сервісу невеликому колу клієнтів. Інфраструктура компанії будується за підходом Infrastructure as Code: мережеве середовище (VPC), реєстр контейнерів (ECR) та кластер Kubernetes (Amazon EKS) описані через Terraform-модулі, а розгортання застосунку в кластері здійснюється за допомогою Helm-чартів.</w:t>
      </w:r>
    </w:p>
    <w:p>
      <w:pPr>
        <w:pStyle w:val="Normal"/>
        <w:spacing w:lineRule="exact" w:line="300" w:before="0" w:after="150"/>
        <w:jc w:val="both"/>
        <w:rPr>
          <w:rFonts w:ascii="Times New Roman" w:hAnsi="Times New Roman"/>
          <w:color w:val="000000"/>
        </w:rPr>
      </w:pPr>
      <w:r>
        <w:rPr>
          <w:rFonts w:eastAsia="Calibri" w:cs="Calibri" w:ascii="Times New Roman" w:hAnsi="Times New Roman"/>
          <w:color w:val="000000"/>
        </w:rPr>
        <w:t>Сфера діяльності компанії — розробка та супровід внутрішніх/клієнтських вебзастосунків із використанням хмарної інфраструктури AWS. Команда перебуває на початковому етапі формалізації DevOps- та security-процесів: базова інфраструктура вже описана в коді, окремі елементи (наприклад, IAM-конфігурація для розгортання в EKS) допрацьовуються, а частина процесів (моніторинг, реагування на інциденти) поки не формалізована.</w:t>
      </w:r>
    </w:p>
    <w:p>
      <w:pPr>
        <w:pStyle w:val="Heading1"/>
        <w:spacing w:before="0" w:after="0"/>
        <w:jc w:val="both"/>
        <w:rPr>
          <w:rFonts w:ascii="Times New Roman" w:hAnsi="Times New Roman"/>
          <w:color w:val="000000"/>
        </w:rPr>
      </w:pPr>
      <w:r>
        <w:rPr>
          <w:rFonts w:eastAsia="Calibri" w:cs="Calibri" w:ascii="Times New Roman" w:hAnsi="Times New Roman"/>
          <w:b/>
          <w:bCs/>
          <w:color w:val="000000"/>
        </w:rPr>
        <w:t>2. Обрана модель оцінки зрілості</w:t>
      </w:r>
    </w:p>
    <w:p>
      <w:pPr>
        <w:pStyle w:val="Normal"/>
        <w:spacing w:lineRule="exact" w:line="300" w:before="0" w:after="150"/>
        <w:jc w:val="both"/>
        <w:rPr>
          <w:rFonts w:ascii="Times New Roman" w:hAnsi="Times New Roman"/>
          <w:color w:val="000000"/>
        </w:rPr>
      </w:pPr>
      <w:r>
        <w:rPr>
          <w:rFonts w:eastAsia="Calibri" w:cs="Calibri" w:ascii="Times New Roman" w:hAnsi="Times New Roman"/>
          <w:color w:val="000000"/>
        </w:rPr>
        <w:t>Для оцінки обрано NIST Cybersecurity Framework (NIST CSF), оскільки він добре підходить для невеликих і середніх команд на ранній стадії формалізації безпеки, не потребує складної організаційної структури (на відміну від CMMI) та дозволяє оцінювати зрілість окремо за функціональними напрямами. Це важливо для компанії, де різні аспекти безпеки (доступ, моніторинг, реагування) перебувають на різних стадіях розвитку.</w:t>
      </w:r>
    </w:p>
    <w:p>
      <w:pPr>
        <w:pStyle w:val="Normal"/>
        <w:spacing w:lineRule="exact" w:line="300" w:before="0" w:after="0"/>
        <w:jc w:val="both"/>
        <w:rPr>
          <w:rFonts w:ascii="Times New Roman" w:hAnsi="Times New Roman"/>
          <w:color w:val="000000"/>
        </w:rPr>
      </w:pPr>
      <w:r>
        <w:rPr>
          <w:rFonts w:eastAsia="Calibri" w:cs="Calibri" w:ascii="Times New Roman" w:hAnsi="Times New Roman"/>
          <w:color w:val="000000"/>
        </w:rPr>
        <w:t>NIST CSF виділяє п'ять основних функцій:</w:t>
      </w:r>
    </w:p>
    <w:p>
      <w:pPr>
        <w:pStyle w:val="ListParagraph"/>
        <w:numPr>
          <w:ilvl w:val="0"/>
          <w:numId w:val="3"/>
        </w:numPr>
        <w:spacing w:before="0" w:after="80"/>
        <w:jc w:val="both"/>
        <w:rPr>
          <w:rFonts w:ascii="Times New Roman" w:hAnsi="Times New Roman"/>
          <w:color w:val="000000"/>
        </w:rPr>
      </w:pPr>
      <w:r>
        <w:rPr>
          <w:rFonts w:eastAsia="Calibri" w:cs="Calibri" w:ascii="Times New Roman" w:hAnsi="Times New Roman"/>
          <w:color w:val="000000"/>
        </w:rPr>
        <w:t>Identify — ідентифікація активів, ризиків та вимог до безпеки;</w:t>
      </w:r>
    </w:p>
    <w:p>
      <w:pPr>
        <w:pStyle w:val="ListParagraph"/>
        <w:numPr>
          <w:ilvl w:val="0"/>
          <w:numId w:val="1"/>
        </w:numPr>
        <w:spacing w:before="0" w:after="80"/>
        <w:jc w:val="both"/>
        <w:rPr>
          <w:rFonts w:ascii="Times New Roman" w:hAnsi="Times New Roman"/>
          <w:color w:val="000000"/>
        </w:rPr>
      </w:pPr>
      <w:r>
        <w:rPr>
          <w:rFonts w:eastAsia="Calibri" w:cs="Calibri" w:ascii="Times New Roman" w:hAnsi="Times New Roman"/>
          <w:color w:val="000000"/>
        </w:rPr>
        <w:t>Protect — заходи захисту (контроль доступу, шифрування, навчання персоналу);</w:t>
      </w:r>
    </w:p>
    <w:p>
      <w:pPr>
        <w:pStyle w:val="ListParagraph"/>
        <w:numPr>
          <w:ilvl w:val="0"/>
          <w:numId w:val="1"/>
        </w:numPr>
        <w:spacing w:before="0" w:after="80"/>
        <w:jc w:val="both"/>
        <w:rPr>
          <w:rFonts w:ascii="Times New Roman" w:hAnsi="Times New Roman"/>
          <w:color w:val="000000"/>
        </w:rPr>
      </w:pPr>
      <w:r>
        <w:rPr>
          <w:rFonts w:eastAsia="Calibri" w:cs="Calibri" w:ascii="Times New Roman" w:hAnsi="Times New Roman"/>
          <w:color w:val="000000"/>
        </w:rPr>
        <w:t>Detect — виявлення аномалій та інцидентів безпеки;</w:t>
      </w:r>
    </w:p>
    <w:p>
      <w:pPr>
        <w:pStyle w:val="ListParagraph"/>
        <w:numPr>
          <w:ilvl w:val="0"/>
          <w:numId w:val="1"/>
        </w:numPr>
        <w:spacing w:before="0" w:after="80"/>
        <w:jc w:val="both"/>
        <w:rPr>
          <w:rFonts w:ascii="Times New Roman" w:hAnsi="Times New Roman"/>
          <w:color w:val="000000"/>
        </w:rPr>
      </w:pPr>
      <w:r>
        <w:rPr>
          <w:rFonts w:eastAsia="Calibri" w:cs="Calibri" w:ascii="Times New Roman" w:hAnsi="Times New Roman"/>
          <w:color w:val="000000"/>
        </w:rPr>
        <w:t>Respond — реагування на виявлені інциденти;</w:t>
      </w:r>
    </w:p>
    <w:p>
      <w:pPr>
        <w:pStyle w:val="ListParagraph"/>
        <w:numPr>
          <w:ilvl w:val="0"/>
          <w:numId w:val="1"/>
        </w:numPr>
        <w:spacing w:before="0" w:after="80"/>
        <w:jc w:val="both"/>
        <w:rPr>
          <w:rFonts w:ascii="Times New Roman" w:hAnsi="Times New Roman"/>
          <w:color w:val="000000"/>
        </w:rPr>
      </w:pPr>
      <w:r>
        <w:rPr>
          <w:rFonts w:eastAsia="Calibri" w:cs="Calibri" w:ascii="Times New Roman" w:hAnsi="Times New Roman"/>
          <w:color w:val="000000"/>
        </w:rPr>
        <w:t>Recover — відновлення роботи систем після інциденту.</w:t>
      </w:r>
    </w:p>
    <w:p>
      <w:pPr>
        <w:pStyle w:val="Normal"/>
        <w:spacing w:lineRule="exact" w:line="300" w:before="0" w:after="150"/>
        <w:jc w:val="both"/>
        <w:rPr>
          <w:rFonts w:ascii="Times New Roman" w:hAnsi="Times New Roman"/>
          <w:color w:val="000000"/>
        </w:rPr>
      </w:pPr>
      <w:r>
        <w:rPr>
          <w:rFonts w:eastAsia="Calibri" w:cs="Calibri" w:ascii="Times New Roman" w:hAnsi="Times New Roman"/>
          <w:color w:val="000000"/>
        </w:rPr>
        <w:t>Для кожної функції зрілість оцінювалася за чотирма рівнями: 1 — Partial (частковий, реактивний), 2 — Risk Informed (є усвідомлення ризиків, але процеси не формалізовані), 3 — Repeatable (процеси задокументовані й повторювані), 4 — Adaptive (процеси постійно вдосконалюються на основі метрик).</w:t>
      </w:r>
    </w:p>
    <w:p>
      <w:pPr>
        <w:pStyle w:val="Heading1"/>
        <w:spacing w:before="0" w:after="0"/>
        <w:jc w:val="both"/>
        <w:rPr>
          <w:rFonts w:ascii="Times New Roman" w:hAnsi="Times New Roman"/>
          <w:color w:val="000000"/>
        </w:rPr>
      </w:pPr>
      <w:r>
        <w:rPr>
          <w:rFonts w:eastAsia="Calibri" w:cs="Calibri" w:ascii="Times New Roman" w:hAnsi="Times New Roman"/>
          <w:b/>
          <w:bCs/>
          <w:color w:val="000000"/>
        </w:rPr>
        <w:t>3. Аналіз поточного рівня безпеки</w:t>
      </w:r>
    </w:p>
    <w:p>
      <w:pPr>
        <w:pStyle w:val="Normal"/>
        <w:spacing w:lineRule="exact" w:line="300" w:before="0" w:after="150"/>
        <w:jc w:val="both"/>
        <w:rPr>
          <w:rFonts w:ascii="Times New Roman" w:hAnsi="Times New Roman"/>
          <w:color w:val="000000"/>
        </w:rPr>
      </w:pPr>
      <w:r>
        <w:rPr>
          <w:rFonts w:eastAsia="Calibri" w:cs="Calibri" w:ascii="Times New Roman" w:hAnsi="Times New Roman"/>
          <w:color w:val="000000"/>
        </w:rPr>
        <w:t>Аналіз базується на документації та артефактах, створених протягом курсу: репозиторій компанії на GitHub, що містить Terraform-модулі (S3 backend, VPC, ECR) та Docker/Helm-конфігурацію Django-застосунку, а також матеріали поточного завдання з розгортання застосунку на AWS EKS.</w:t>
      </w:r>
    </w:p>
    <w:tbl>
      <w:tblPr>
        <w:tblW w:w="9200" w:type="dxa"/>
        <w:jc w:val="left"/>
        <w:tblInd w:w="0" w:type="dxa"/>
        <w:tblLayout w:type="fixed"/>
        <w:tblCellMar>
          <w:top w:w="0" w:type="dxa"/>
          <w:left w:w="108" w:type="dxa"/>
          <w:bottom w:w="0" w:type="dxa"/>
          <w:right w:w="108" w:type="dxa"/>
        </w:tblCellMar>
      </w:tblPr>
      <w:tblGrid>
        <w:gridCol w:w="1599"/>
        <w:gridCol w:w="2600"/>
        <w:gridCol w:w="2600"/>
        <w:gridCol w:w="2400"/>
      </w:tblGrid>
      <w:tr>
        <w:trPr/>
        <w:tc>
          <w:tcPr>
            <w:tcW w:w="1599" w:type="dxa"/>
            <w:tcBorders>
              <w:top w:val="single" w:sz="4" w:space="0" w:color="000000"/>
              <w:left w:val="single" w:sz="4" w:space="0" w:color="000000"/>
              <w:bottom w:val="single" w:sz="4" w:space="0" w:color="000000"/>
              <w:right w:val="single" w:sz="4" w:space="0" w:color="000000"/>
            </w:tcBorders>
            <w:shd w:fill="2E4B6B" w:val="clear"/>
          </w:tcPr>
          <w:p>
            <w:pPr>
              <w:pStyle w:val="Normal"/>
              <w:widowControl w:val="false"/>
              <w:jc w:val="both"/>
              <w:rPr>
                <w:rFonts w:ascii="Times New Roman" w:hAnsi="Times New Roman"/>
                <w:color w:val="000000"/>
              </w:rPr>
            </w:pPr>
            <w:r>
              <w:rPr>
                <w:rFonts w:eastAsia="Calibri" w:cs="Calibri" w:ascii="Times New Roman" w:hAnsi="Times New Roman"/>
                <w:b/>
                <w:bCs/>
                <w:color w:val="000000"/>
                <w:sz w:val="20"/>
                <w:szCs w:val="20"/>
              </w:rPr>
              <w:t>Функція NIST CSF</w:t>
            </w:r>
          </w:p>
        </w:tc>
        <w:tc>
          <w:tcPr>
            <w:tcW w:w="2600" w:type="dxa"/>
            <w:tcBorders>
              <w:top w:val="single" w:sz="4" w:space="0" w:color="000000"/>
              <w:left w:val="single" w:sz="4" w:space="0" w:color="000000"/>
              <w:bottom w:val="single" w:sz="4" w:space="0" w:color="000000"/>
              <w:right w:val="single" w:sz="4" w:space="0" w:color="000000"/>
            </w:tcBorders>
            <w:shd w:fill="2E4B6B" w:val="clear"/>
          </w:tcPr>
          <w:p>
            <w:pPr>
              <w:pStyle w:val="Normal"/>
              <w:widowControl w:val="false"/>
              <w:jc w:val="both"/>
              <w:rPr>
                <w:rFonts w:ascii="Times New Roman" w:hAnsi="Times New Roman"/>
                <w:color w:val="000000"/>
              </w:rPr>
            </w:pPr>
            <w:r>
              <w:rPr>
                <w:rFonts w:eastAsia="Calibri" w:cs="Calibri" w:ascii="Times New Roman" w:hAnsi="Times New Roman"/>
                <w:b/>
                <w:bCs/>
                <w:color w:val="000000"/>
                <w:sz w:val="20"/>
                <w:szCs w:val="20"/>
              </w:rPr>
              <w:t>Поточний стан</w:t>
            </w:r>
          </w:p>
        </w:tc>
        <w:tc>
          <w:tcPr>
            <w:tcW w:w="2600" w:type="dxa"/>
            <w:tcBorders>
              <w:top w:val="single" w:sz="4" w:space="0" w:color="000000"/>
              <w:left w:val="single" w:sz="4" w:space="0" w:color="000000"/>
              <w:bottom w:val="single" w:sz="4" w:space="0" w:color="000000"/>
              <w:right w:val="single" w:sz="4" w:space="0" w:color="000000"/>
            </w:tcBorders>
            <w:shd w:fill="2E4B6B" w:val="clear"/>
          </w:tcPr>
          <w:p>
            <w:pPr>
              <w:pStyle w:val="Normal"/>
              <w:widowControl w:val="false"/>
              <w:jc w:val="both"/>
              <w:rPr>
                <w:rFonts w:ascii="Times New Roman" w:hAnsi="Times New Roman"/>
                <w:color w:val="000000"/>
              </w:rPr>
            </w:pPr>
            <w:r>
              <w:rPr>
                <w:rFonts w:eastAsia="Calibri" w:cs="Calibri" w:ascii="Times New Roman" w:hAnsi="Times New Roman"/>
                <w:b/>
                <w:bCs/>
                <w:color w:val="000000"/>
                <w:sz w:val="20"/>
                <w:szCs w:val="20"/>
              </w:rPr>
              <w:t>Рівень зрілості (1-4)</w:t>
            </w:r>
          </w:p>
        </w:tc>
        <w:tc>
          <w:tcPr>
            <w:tcW w:w="2400" w:type="dxa"/>
            <w:tcBorders>
              <w:top w:val="single" w:sz="4" w:space="0" w:color="000000"/>
              <w:left w:val="single" w:sz="4" w:space="0" w:color="000000"/>
              <w:bottom w:val="single" w:sz="4" w:space="0" w:color="000000"/>
              <w:right w:val="single" w:sz="4" w:space="0" w:color="000000"/>
            </w:tcBorders>
            <w:shd w:fill="2E4B6B" w:val="clear"/>
          </w:tcPr>
          <w:p>
            <w:pPr>
              <w:pStyle w:val="Normal"/>
              <w:widowControl w:val="false"/>
              <w:jc w:val="both"/>
              <w:rPr>
                <w:rFonts w:ascii="Times New Roman" w:hAnsi="Times New Roman"/>
                <w:color w:val="000000"/>
              </w:rPr>
            </w:pPr>
            <w:r>
              <w:rPr>
                <w:rFonts w:eastAsia="Calibri" w:cs="Calibri" w:ascii="Times New Roman" w:hAnsi="Times New Roman"/>
                <w:b/>
                <w:bCs/>
                <w:color w:val="000000"/>
                <w:sz w:val="20"/>
                <w:szCs w:val="20"/>
              </w:rPr>
              <w:t>Ключовий доказ</w:t>
            </w:r>
          </w:p>
        </w:tc>
      </w:tr>
      <w:tr>
        <w:trPr/>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color w:val="000000"/>
              </w:rPr>
            </w:pPr>
            <w:r>
              <w:rPr>
                <w:rFonts w:eastAsia="Calibri" w:cs="Calibri" w:ascii="Times New Roman" w:hAnsi="Times New Roman"/>
                <w:b w:val="false"/>
                <w:bCs w:val="false"/>
                <w:color w:val="000000"/>
                <w:sz w:val="20"/>
                <w:szCs w:val="20"/>
              </w:rPr>
              <w:t>Identify (Ідентифікація)</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color w:val="000000"/>
              </w:rPr>
            </w:pPr>
            <w:r>
              <w:rPr>
                <w:rFonts w:eastAsia="Calibri" w:cs="Calibri" w:ascii="Times New Roman" w:hAnsi="Times New Roman"/>
                <w:b w:val="false"/>
                <w:bCs w:val="false"/>
                <w:color w:val="000000"/>
                <w:sz w:val="20"/>
                <w:szCs w:val="20"/>
              </w:rPr>
              <w:t>Активи описані у Terraform-модулях (VPC, ECR, EKS), але немає єдиного реєстру активів і формальної оцінки ризиків</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color w:val="000000"/>
              </w:rPr>
            </w:pPr>
            <w:r>
              <w:rPr>
                <w:rFonts w:eastAsia="Calibri" w:cs="Calibri" w:ascii="Times New Roman" w:hAnsi="Times New Roman"/>
                <w:b w:val="false"/>
                <w:bCs w:val="false"/>
                <w:color w:val="000000"/>
                <w:sz w:val="20"/>
                <w:szCs w:val="20"/>
              </w:rPr>
              <w:t>Рівень 2 — Risk Informed</w:t>
            </w:r>
          </w:p>
        </w:tc>
        <w:tc>
          <w:tcPr>
            <w:tcW w:w="240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color w:val="000000"/>
              </w:rPr>
            </w:pPr>
            <w:r>
              <w:rPr>
                <w:rFonts w:eastAsia="Calibri" w:cs="Calibri" w:ascii="Times New Roman" w:hAnsi="Times New Roman"/>
                <w:b w:val="false"/>
                <w:bCs w:val="false"/>
                <w:color w:val="000000"/>
                <w:sz w:val="20"/>
                <w:szCs w:val="20"/>
              </w:rPr>
              <w:t>lesson-5: модулі S3 backend, VPC, ECR</w:t>
            </w:r>
          </w:p>
        </w:tc>
      </w:tr>
      <w:tr>
        <w:trPr/>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color w:val="000000"/>
              </w:rPr>
            </w:pPr>
            <w:r>
              <w:rPr>
                <w:rFonts w:eastAsia="Calibri" w:cs="Calibri" w:ascii="Times New Roman" w:hAnsi="Times New Roman"/>
                <w:b w:val="false"/>
                <w:bCs w:val="false"/>
                <w:color w:val="000000"/>
                <w:sz w:val="20"/>
                <w:szCs w:val="20"/>
              </w:rPr>
              <w:t>Protect (Захист)</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color w:val="000000"/>
              </w:rPr>
            </w:pPr>
            <w:r>
              <w:rPr>
                <w:rFonts w:eastAsia="Calibri" w:cs="Calibri" w:ascii="Times New Roman" w:hAnsi="Times New Roman"/>
                <w:b w:val="false"/>
                <w:bCs w:val="false"/>
                <w:color w:val="000000"/>
                <w:sz w:val="20"/>
                <w:szCs w:val="20"/>
              </w:rPr>
              <w:t>IAM-ролі та політики створюються через Terraform, але принцип найменших привілеїв не завжди формалізований; секрети частково в Helm values</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color w:val="000000"/>
              </w:rPr>
            </w:pPr>
            <w:r>
              <w:rPr>
                <w:rFonts w:eastAsia="Calibri" w:cs="Calibri" w:ascii="Times New Roman" w:hAnsi="Times New Roman"/>
                <w:b w:val="false"/>
                <w:bCs w:val="false"/>
                <w:color w:val="000000"/>
                <w:sz w:val="20"/>
                <w:szCs w:val="20"/>
              </w:rPr>
              <w:t>Рівень 2 — Risk Informed</w:t>
            </w:r>
          </w:p>
        </w:tc>
        <w:tc>
          <w:tcPr>
            <w:tcW w:w="240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color w:val="000000"/>
              </w:rPr>
            </w:pPr>
            <w:r>
              <w:rPr>
                <w:rFonts w:eastAsia="Calibri" w:cs="Calibri" w:ascii="Times New Roman" w:hAnsi="Times New Roman"/>
                <w:b w:val="false"/>
                <w:bCs w:val="false"/>
                <w:color w:val="000000"/>
                <w:sz w:val="20"/>
                <w:szCs w:val="20"/>
              </w:rPr>
              <w:t>IAM-конфігурація lesson-7 (Phase 2, в процесі)</w:t>
            </w:r>
          </w:p>
        </w:tc>
      </w:tr>
      <w:tr>
        <w:trPr/>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color w:val="000000"/>
              </w:rPr>
            </w:pPr>
            <w:r>
              <w:rPr>
                <w:rFonts w:eastAsia="Calibri" w:cs="Calibri" w:ascii="Times New Roman" w:hAnsi="Times New Roman"/>
                <w:b w:val="false"/>
                <w:bCs w:val="false"/>
                <w:color w:val="000000"/>
                <w:sz w:val="20"/>
                <w:szCs w:val="20"/>
              </w:rPr>
              <w:t>Detect (Виявлення)</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color w:val="000000"/>
              </w:rPr>
            </w:pPr>
            <w:r>
              <w:rPr>
                <w:rFonts w:eastAsia="Calibri" w:cs="Calibri" w:ascii="Times New Roman" w:hAnsi="Times New Roman"/>
                <w:b w:val="false"/>
                <w:bCs w:val="false"/>
                <w:color w:val="000000"/>
                <w:sz w:val="20"/>
                <w:szCs w:val="20"/>
              </w:rPr>
              <w:t>Моніторинг обмежується базовими логами Kubernetes/CloudWatch за замовчуванням; немає централізованого SIEM чи алертингу</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color w:val="000000"/>
              </w:rPr>
            </w:pPr>
            <w:r>
              <w:rPr>
                <w:rFonts w:eastAsia="Calibri" w:cs="Calibri" w:ascii="Times New Roman" w:hAnsi="Times New Roman"/>
                <w:b w:val="false"/>
                <w:bCs w:val="false"/>
                <w:color w:val="000000"/>
                <w:sz w:val="20"/>
                <w:szCs w:val="20"/>
              </w:rPr>
              <w:t>Рівень 1 — Partial</w:t>
            </w:r>
          </w:p>
        </w:tc>
        <w:tc>
          <w:tcPr>
            <w:tcW w:w="240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color w:val="000000"/>
              </w:rPr>
            </w:pPr>
            <w:r>
              <w:rPr>
                <w:rFonts w:eastAsia="Calibri" w:cs="Calibri" w:ascii="Times New Roman" w:hAnsi="Times New Roman"/>
                <w:b w:val="false"/>
                <w:bCs w:val="false"/>
                <w:color w:val="000000"/>
                <w:sz w:val="20"/>
                <w:szCs w:val="20"/>
              </w:rPr>
              <w:t>Відсутність окремого модуля логування/моніторингу в репозиторії</w:t>
            </w:r>
          </w:p>
        </w:tc>
      </w:tr>
      <w:tr>
        <w:trPr/>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color w:val="000000"/>
              </w:rPr>
            </w:pPr>
            <w:r>
              <w:rPr>
                <w:rFonts w:eastAsia="Calibri" w:cs="Calibri" w:ascii="Times New Roman" w:hAnsi="Times New Roman"/>
                <w:b w:val="false"/>
                <w:bCs w:val="false"/>
                <w:color w:val="000000"/>
                <w:sz w:val="20"/>
                <w:szCs w:val="20"/>
              </w:rPr>
              <w:t>Respond (Реагування)</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color w:val="000000"/>
              </w:rPr>
            </w:pPr>
            <w:r>
              <w:rPr>
                <w:rFonts w:eastAsia="Calibri" w:cs="Calibri" w:ascii="Times New Roman" w:hAnsi="Times New Roman"/>
                <w:b w:val="false"/>
                <w:bCs w:val="false"/>
                <w:color w:val="000000"/>
                <w:sz w:val="20"/>
                <w:szCs w:val="20"/>
              </w:rPr>
              <w:t>Формалізованого плану реагування на інциденти немає; дії у разі збою вирішуються ситуативно</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color w:val="000000"/>
              </w:rPr>
            </w:pPr>
            <w:r>
              <w:rPr>
                <w:rFonts w:eastAsia="Calibri" w:cs="Calibri" w:ascii="Times New Roman" w:hAnsi="Times New Roman"/>
                <w:b w:val="false"/>
                <w:bCs w:val="false"/>
                <w:color w:val="000000"/>
                <w:sz w:val="20"/>
                <w:szCs w:val="20"/>
              </w:rPr>
              <w:t>Рівень 1 — Partial</w:t>
            </w:r>
          </w:p>
        </w:tc>
        <w:tc>
          <w:tcPr>
            <w:tcW w:w="240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color w:val="000000"/>
              </w:rPr>
            </w:pPr>
            <w:r>
              <w:rPr>
                <w:rFonts w:eastAsia="Calibri" w:cs="Calibri" w:ascii="Times New Roman" w:hAnsi="Times New Roman"/>
                <w:b w:val="false"/>
                <w:bCs w:val="false"/>
                <w:color w:val="000000"/>
                <w:sz w:val="20"/>
                <w:szCs w:val="20"/>
              </w:rPr>
              <w:t>Відсутність runbook/IR-документації в проєкті</w:t>
            </w:r>
          </w:p>
        </w:tc>
      </w:tr>
      <w:tr>
        <w:trPr/>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color w:val="000000"/>
              </w:rPr>
            </w:pPr>
            <w:r>
              <w:rPr>
                <w:rFonts w:eastAsia="Calibri" w:cs="Calibri" w:ascii="Times New Roman" w:hAnsi="Times New Roman"/>
                <w:b w:val="false"/>
                <w:bCs w:val="false"/>
                <w:color w:val="000000"/>
                <w:sz w:val="20"/>
                <w:szCs w:val="20"/>
              </w:rPr>
              <w:t>Recover (Відновлення)</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color w:val="000000"/>
              </w:rPr>
            </w:pPr>
            <w:r>
              <w:rPr>
                <w:rFonts w:eastAsia="Calibri" w:cs="Calibri" w:ascii="Times New Roman" w:hAnsi="Times New Roman"/>
                <w:b w:val="false"/>
                <w:bCs w:val="false"/>
                <w:color w:val="000000"/>
                <w:sz w:val="20"/>
                <w:szCs w:val="20"/>
              </w:rPr>
              <w:t>Інфраструктура як код (Terraform) дозволяє відносно швидко перерозгорнути середовище, але немає задокументованої процедури DR</w:t>
            </w:r>
          </w:p>
        </w:tc>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color w:val="000000"/>
              </w:rPr>
            </w:pPr>
            <w:r>
              <w:rPr>
                <w:rFonts w:eastAsia="Calibri" w:cs="Calibri" w:ascii="Times New Roman" w:hAnsi="Times New Roman"/>
                <w:b w:val="false"/>
                <w:bCs w:val="false"/>
                <w:color w:val="000000"/>
                <w:sz w:val="20"/>
                <w:szCs w:val="20"/>
              </w:rPr>
              <w:t>Рівень 2 — Risk Informed</w:t>
            </w:r>
          </w:p>
        </w:tc>
        <w:tc>
          <w:tcPr>
            <w:tcW w:w="2400"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Times New Roman" w:hAnsi="Times New Roman"/>
                <w:color w:val="000000"/>
              </w:rPr>
            </w:pPr>
            <w:r>
              <w:rPr>
                <w:rFonts w:eastAsia="Calibri" w:cs="Calibri" w:ascii="Times New Roman" w:hAnsi="Times New Roman"/>
                <w:b w:val="false"/>
                <w:bCs w:val="false"/>
                <w:color w:val="000000"/>
                <w:sz w:val="20"/>
                <w:szCs w:val="20"/>
              </w:rPr>
              <w:t>Модульна структура Terraform дозволяє повторне розгортання</w:t>
            </w:r>
          </w:p>
        </w:tc>
      </w:tr>
    </w:tbl>
    <w:p>
      <w:pPr>
        <w:pStyle w:val="Normal"/>
        <w:spacing w:before="200" w:after="0"/>
        <w:jc w:val="both"/>
        <w:rPr>
          <w:rFonts w:ascii="Times New Roman" w:hAnsi="Times New Roman"/>
          <w:color w:val="000000"/>
        </w:rPr>
      </w:pPr>
      <w:r>
        <w:rPr>
          <w:rFonts w:ascii="Times New Roman" w:hAnsi="Times New Roman"/>
          <w:color w:val="000000"/>
        </w:rPr>
      </w:r>
    </w:p>
    <w:p>
      <w:pPr>
        <w:pStyle w:val="Normal"/>
        <w:spacing w:lineRule="exact" w:line="300" w:before="0" w:after="0"/>
        <w:jc w:val="both"/>
        <w:rPr>
          <w:rFonts w:ascii="Times New Roman" w:hAnsi="Times New Roman"/>
          <w:color w:val="000000"/>
        </w:rPr>
      </w:pPr>
      <w:r>
        <w:rPr>
          <w:rFonts w:eastAsia="Calibri" w:cs="Calibri" w:ascii="Times New Roman" w:hAnsi="Times New Roman"/>
          <w:color w:val="000000"/>
        </w:rPr>
        <w:t>Ключові спостереження:</w:t>
      </w:r>
    </w:p>
    <w:p>
      <w:pPr>
        <w:pStyle w:val="ListParagraph"/>
        <w:numPr>
          <w:ilvl w:val="0"/>
          <w:numId w:val="1"/>
        </w:numPr>
        <w:spacing w:before="0" w:after="80"/>
        <w:jc w:val="both"/>
        <w:rPr>
          <w:rFonts w:ascii="Times New Roman" w:hAnsi="Times New Roman"/>
          <w:color w:val="000000"/>
        </w:rPr>
      </w:pPr>
      <w:r>
        <w:rPr>
          <w:rFonts w:eastAsia="Calibri" w:cs="Calibri" w:ascii="Times New Roman" w:hAnsi="Times New Roman"/>
          <w:color w:val="000000"/>
        </w:rPr>
        <w:t>Формалізовані політики кібербезпеки практично відсутні: є технічна реалізація контролю доступу через IAM, але немає документа з політикою безпеки, який би описував правила доступу, паролів, ротації ключів тощо.</w:t>
      </w:r>
    </w:p>
    <w:p>
      <w:pPr>
        <w:pStyle w:val="ListParagraph"/>
        <w:numPr>
          <w:ilvl w:val="0"/>
          <w:numId w:val="1"/>
        </w:numPr>
        <w:spacing w:before="0" w:after="80"/>
        <w:jc w:val="both"/>
        <w:rPr>
          <w:rFonts w:ascii="Times New Roman" w:hAnsi="Times New Roman"/>
          <w:color w:val="000000"/>
        </w:rPr>
      </w:pPr>
      <w:r>
        <w:rPr>
          <w:rFonts w:eastAsia="Calibri" w:cs="Calibri" w:ascii="Times New Roman" w:hAnsi="Times New Roman"/>
          <w:color w:val="000000"/>
        </w:rPr>
        <w:t>Контроль доступу реалізований на рівні IAM-ролей AWS, проте конфігурація ще перебуває в процесі узгодження (перевірка коректності IAM для розгортання в EKS), що свідчить про відсутність усталеного процесу перевірки прав перед розгортанням.</w:t>
      </w:r>
    </w:p>
    <w:p>
      <w:pPr>
        <w:pStyle w:val="ListParagraph"/>
        <w:numPr>
          <w:ilvl w:val="0"/>
          <w:numId w:val="1"/>
        </w:numPr>
        <w:spacing w:before="0" w:after="80"/>
        <w:jc w:val="both"/>
        <w:rPr>
          <w:rFonts w:ascii="Times New Roman" w:hAnsi="Times New Roman"/>
          <w:color w:val="000000"/>
        </w:rPr>
      </w:pPr>
      <w:r>
        <w:rPr>
          <w:rFonts w:eastAsia="Calibri" w:cs="Calibri" w:ascii="Times New Roman" w:hAnsi="Times New Roman"/>
          <w:color w:val="000000"/>
        </w:rPr>
        <w:t>Моніторинг та виявлення загроз обмежені стандартними засобами AWS/Kubernetes без додаткової кореляції подій чи централізованого збору логів.</w:t>
      </w:r>
    </w:p>
    <w:p>
      <w:pPr>
        <w:pStyle w:val="ListParagraph"/>
        <w:numPr>
          <w:ilvl w:val="0"/>
          <w:numId w:val="1"/>
        </w:numPr>
        <w:spacing w:before="0" w:after="80"/>
        <w:jc w:val="both"/>
        <w:rPr>
          <w:rFonts w:ascii="Times New Roman" w:hAnsi="Times New Roman"/>
          <w:color w:val="000000"/>
        </w:rPr>
      </w:pPr>
      <w:r>
        <w:rPr>
          <w:rFonts w:eastAsia="Calibri" w:cs="Calibri" w:ascii="Times New Roman" w:hAnsi="Times New Roman"/>
          <w:color w:val="000000"/>
        </w:rPr>
        <w:t>Формального плану реагування на інциденти (Incident Response Plan) не виявлено; дії у разі збою чи компрометації middleware не описані.</w:t>
      </w:r>
    </w:p>
    <w:p>
      <w:pPr>
        <w:pStyle w:val="ListParagraph"/>
        <w:numPr>
          <w:ilvl w:val="0"/>
          <w:numId w:val="1"/>
        </w:numPr>
        <w:spacing w:before="0" w:after="80"/>
        <w:jc w:val="both"/>
        <w:rPr>
          <w:rFonts w:ascii="Times New Roman" w:hAnsi="Times New Roman"/>
          <w:color w:val="000000"/>
        </w:rPr>
      </w:pPr>
      <w:r>
        <w:rPr>
          <w:rFonts w:eastAsia="Calibri" w:cs="Calibri" w:ascii="Times New Roman" w:hAnsi="Times New Roman"/>
          <w:color w:val="000000"/>
        </w:rPr>
        <w:t>Метрики безпеки (кількість вразливостей, час виявлення, час реагування) не збираються і не аналізуються.</w:t>
      </w:r>
    </w:p>
    <w:p>
      <w:pPr>
        <w:pStyle w:val="Heading1"/>
        <w:spacing w:before="0" w:after="0"/>
        <w:jc w:val="both"/>
        <w:rPr>
          <w:rFonts w:ascii="Times New Roman" w:hAnsi="Times New Roman"/>
          <w:color w:val="000000"/>
        </w:rPr>
      </w:pPr>
      <w:r>
        <w:rPr>
          <w:rFonts w:eastAsia="Calibri" w:cs="Calibri" w:ascii="Times New Roman" w:hAnsi="Times New Roman"/>
          <w:b/>
          <w:bCs/>
          <w:color w:val="000000"/>
        </w:rPr>
        <w:t>4. Висновки щодо рівня зрілості організації</w:t>
      </w:r>
    </w:p>
    <w:p>
      <w:pPr>
        <w:pStyle w:val="Normal"/>
        <w:spacing w:lineRule="exact" w:line="300" w:before="0" w:after="150"/>
        <w:jc w:val="both"/>
        <w:rPr>
          <w:rFonts w:ascii="Times New Roman" w:hAnsi="Times New Roman"/>
          <w:color w:val="000000"/>
        </w:rPr>
      </w:pPr>
      <w:r>
        <w:rPr>
          <w:rFonts w:eastAsia="Calibri" w:cs="Calibri" w:ascii="Times New Roman" w:hAnsi="Times New Roman"/>
          <w:color w:val="000000"/>
        </w:rPr>
        <w:t>Загальний рівень зрілості кібербезпеки компанії відповідає рівню 2 (Risk Informed) за шкалою NIST CSF із помітним відставанням функцій Detect та Respond, які фактично перебувають на рівні 1 (Partial). Це типова ситуація для команди, яка вже впровадила Infrastructure as Code та базовий контроль доступу, але ще не побудувала процеси виявлення й реагування на інциденти. Сильна сторона — використання Terraform, що дає відтворюваність інфраструктури та полегшує майбутнє впровадження засобів безпеки "як коду". Найслабша ланка — відсутність моніторингу подій безпеки та плану реагування на інциденти, що створює ризик пізнього виявлення компрометації та повільного відновлення після інциденту.</w:t>
      </w:r>
    </w:p>
    <w:p>
      <w:pPr>
        <w:pStyle w:val="Heading1"/>
        <w:spacing w:before="0" w:after="0"/>
        <w:jc w:val="both"/>
        <w:rPr>
          <w:rFonts w:ascii="Times New Roman" w:hAnsi="Times New Roman"/>
          <w:color w:val="000000"/>
        </w:rPr>
      </w:pPr>
      <w:r>
        <w:rPr>
          <w:rFonts w:eastAsia="Calibri" w:cs="Calibri" w:ascii="Times New Roman" w:hAnsi="Times New Roman"/>
          <w:b/>
          <w:bCs/>
          <w:color w:val="000000"/>
        </w:rPr>
        <w:t>5. Рекомендації щодо вдосконалення кібербезпеки</w:t>
      </w:r>
    </w:p>
    <w:p>
      <w:pPr>
        <w:pStyle w:val="Heading2"/>
        <w:spacing w:before="0" w:after="0"/>
        <w:jc w:val="both"/>
        <w:rPr>
          <w:rFonts w:ascii="Times New Roman" w:hAnsi="Times New Roman"/>
          <w:color w:val="000000"/>
        </w:rPr>
      </w:pPr>
      <w:r>
        <w:rPr>
          <w:rFonts w:eastAsia="Calibri" w:cs="Calibri" w:ascii="Times New Roman" w:hAnsi="Times New Roman"/>
          <w:b/>
          <w:bCs/>
          <w:color w:val="000000"/>
        </w:rPr>
        <w:t>5.1 Впровадження SIEM-системи для централізованого моніторингу</w:t>
      </w:r>
    </w:p>
    <w:p>
      <w:pPr>
        <w:pStyle w:val="Normal"/>
        <w:spacing w:lineRule="exact" w:line="300" w:before="0" w:after="150"/>
        <w:jc w:val="both"/>
        <w:rPr>
          <w:rFonts w:ascii="Times New Roman" w:hAnsi="Times New Roman"/>
          <w:color w:val="000000"/>
        </w:rPr>
      </w:pPr>
      <w:r>
        <w:rPr>
          <w:rFonts w:eastAsia="Calibri" w:cs="Calibri" w:ascii="Times New Roman" w:hAnsi="Times New Roman"/>
          <w:color w:val="000000"/>
        </w:rPr>
        <w:t>Налаштувати збір логів з EKS (control plane logging), додатку Django та AWS CloudTrail у централізовану систему (наприклад, Amazon Security Lake, Wazuh або ELK/OpenSearch стек) з базовими правилами кореляції та алертингом у Slack/email. Це підніме функцію Detect з рівня 1 до рівня 2-3.</w:t>
      </w:r>
    </w:p>
    <w:p>
      <w:pPr>
        <w:pStyle w:val="Heading2"/>
        <w:spacing w:before="0" w:after="0"/>
        <w:jc w:val="both"/>
        <w:rPr>
          <w:rFonts w:ascii="Times New Roman" w:hAnsi="Times New Roman"/>
          <w:color w:val="000000"/>
        </w:rPr>
      </w:pPr>
      <w:r>
        <w:rPr>
          <w:rFonts w:eastAsia="Calibri" w:cs="Calibri" w:ascii="Times New Roman" w:hAnsi="Times New Roman"/>
          <w:b/>
          <w:bCs/>
          <w:color w:val="000000"/>
        </w:rPr>
        <w:t>5.2 Автоматизація управління вразливостями</w:t>
      </w:r>
    </w:p>
    <w:p>
      <w:pPr>
        <w:pStyle w:val="Normal"/>
        <w:spacing w:lineRule="exact" w:line="300" w:before="0" w:after="150"/>
        <w:jc w:val="both"/>
        <w:rPr>
          <w:rFonts w:ascii="Times New Roman" w:hAnsi="Times New Roman"/>
          <w:color w:val="000000"/>
        </w:rPr>
      </w:pPr>
      <w:r>
        <w:rPr>
          <w:rFonts w:eastAsia="Calibri" w:cs="Calibri" w:ascii="Times New Roman" w:hAnsi="Times New Roman"/>
          <w:color w:val="000000"/>
        </w:rPr>
        <w:t>Інтегрувати сканування образів контейнерів (наприклад, Trivy або Amazon ECR image scanning) у CI/CD пайплайн, а також регулярне сканування Terraform-конфігурацій на предмет помилок безпеки (tfsec, Checkov). Це дозволить виявляти вразливості до розгортання, а не постфактум.</w:t>
      </w:r>
    </w:p>
    <w:p>
      <w:pPr>
        <w:pStyle w:val="Heading2"/>
        <w:spacing w:before="0" w:after="0"/>
        <w:jc w:val="both"/>
        <w:rPr>
          <w:rFonts w:ascii="Times New Roman" w:hAnsi="Times New Roman"/>
          <w:color w:val="000000"/>
        </w:rPr>
      </w:pPr>
      <w:r>
        <w:rPr>
          <w:rFonts w:eastAsia="Calibri" w:cs="Calibri" w:ascii="Times New Roman" w:hAnsi="Times New Roman"/>
          <w:b/>
          <w:bCs/>
          <w:color w:val="000000"/>
        </w:rPr>
        <w:t>5.3 Формалізація процесу реагування на інциденти</w:t>
      </w:r>
    </w:p>
    <w:p>
      <w:pPr>
        <w:pStyle w:val="Normal"/>
        <w:spacing w:lineRule="exact" w:line="300" w:before="0" w:after="150"/>
        <w:jc w:val="both"/>
        <w:rPr>
          <w:rFonts w:ascii="Times New Roman" w:hAnsi="Times New Roman"/>
          <w:color w:val="000000"/>
        </w:rPr>
      </w:pPr>
      <w:r>
        <w:rPr>
          <w:rFonts w:eastAsia="Calibri" w:cs="Calibri" w:ascii="Times New Roman" w:hAnsi="Times New Roman"/>
          <w:color w:val="000000"/>
        </w:rPr>
        <w:t>Розробити короткий Incident Response Runbook: хто відповідальний, які кроки при підозрі на компрометацію (ізоляція поду/ноди, ротація ключів IAM, відкат через Terraform/Helm), канали комунікації. Навіть базовий документ на 1-2 сторінки суттєво підвищить готовність команди.</w:t>
      </w:r>
    </w:p>
    <w:p>
      <w:pPr>
        <w:pStyle w:val="Heading2"/>
        <w:spacing w:before="0" w:after="0"/>
        <w:jc w:val="both"/>
        <w:rPr>
          <w:rFonts w:ascii="Times New Roman" w:hAnsi="Times New Roman"/>
          <w:color w:val="000000"/>
        </w:rPr>
      </w:pPr>
      <w:r>
        <w:rPr>
          <w:rFonts w:eastAsia="Calibri" w:cs="Calibri" w:ascii="Times New Roman" w:hAnsi="Times New Roman"/>
          <w:b/>
          <w:bCs/>
          <w:color w:val="000000"/>
        </w:rPr>
        <w:t>5.4 Регулярні Red Team / Blue Team вправи</w:t>
      </w:r>
    </w:p>
    <w:p>
      <w:pPr>
        <w:pStyle w:val="Normal"/>
        <w:spacing w:lineRule="exact" w:line="300" w:before="0" w:after="150"/>
        <w:jc w:val="both"/>
        <w:rPr>
          <w:rFonts w:ascii="Times New Roman" w:hAnsi="Times New Roman"/>
          <w:color w:val="000000"/>
        </w:rPr>
      </w:pPr>
      <w:r>
        <w:rPr>
          <w:rFonts w:eastAsia="Calibri" w:cs="Calibri" w:ascii="Times New Roman" w:hAnsi="Times New Roman"/>
          <w:color w:val="000000"/>
        </w:rPr>
        <w:t>Проводити періодичні навчальні вправи (наприклад, раз на квартал) — імітацію інциденту (скомпрометований под, витік облікових даних) із відпрацюванням дій команди за розробленим runbook. Це переведе функції Respond і Recover з рівня 1-2 до рівня 3 (Repeatable).</w:t>
      </w:r>
    </w:p>
    <w:p>
      <w:pPr>
        <w:pStyle w:val="Heading2"/>
        <w:spacing w:before="0" w:after="0"/>
        <w:jc w:val="both"/>
        <w:rPr>
          <w:rFonts w:ascii="Times New Roman" w:hAnsi="Times New Roman"/>
          <w:color w:val="000000"/>
        </w:rPr>
      </w:pPr>
      <w:r>
        <w:rPr>
          <w:rFonts w:eastAsia="Calibri" w:cs="Calibri" w:ascii="Times New Roman" w:hAnsi="Times New Roman"/>
          <w:b/>
          <w:bCs/>
          <w:color w:val="000000"/>
        </w:rPr>
        <w:t>5.5 Формалізація політик доступу</w:t>
      </w:r>
    </w:p>
    <w:p>
      <w:pPr>
        <w:pStyle w:val="Normal"/>
        <w:spacing w:lineRule="exact" w:line="300" w:before="0" w:after="150"/>
        <w:jc w:val="both"/>
        <w:rPr>
          <w:rFonts w:ascii="Times New Roman" w:hAnsi="Times New Roman"/>
          <w:color w:val="000000"/>
        </w:rPr>
      </w:pPr>
      <w:r>
        <w:rPr>
          <w:rFonts w:eastAsia="Calibri" w:cs="Calibri" w:ascii="Times New Roman" w:hAnsi="Times New Roman"/>
          <w:color w:val="000000"/>
        </w:rPr>
        <w:t>Задокументувати принцип найменших привілеїв для IAM-ролей, використовуваних Terraform та Kubernetes service account'ами, і перевести секрети застосунку з Helm values у керований сервіс секретів (AWS Secrets Manager або HashiCorp Vault) із автоматичною ротацією.</w:t>
      </w:r>
    </w:p>
    <w:p>
      <w:pPr>
        <w:pStyle w:val="Normal"/>
        <w:spacing w:before="300" w:after="0"/>
        <w:jc w:val="both"/>
        <w:rPr>
          <w:rFonts w:eastAsia="Calibri" w:cs="Calibri"/>
        </w:rPr>
      </w:pPr>
      <w:r>
        <w:rPr>
          <w:rFonts w:ascii="Times New Roman" w:hAnsi="Times New Roman"/>
          <w:color w:val="000000"/>
        </w:rPr>
      </w:r>
    </w:p>
    <w:sectPr>
      <w:type w:val="nextPage"/>
      <w:pgSz w:w="11906" w:h="16838"/>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SimSun" w:cs="Arial"/>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Reference"/>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NSimSun" w:cs="Arial"/>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SimSun" w:cs="Arial"/>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Real_Office/7.4.0.3$Windows_X86_64 LibreOffice_project/</Application>
  <AppVersion>15.0000</AppVersion>
  <Pages>3</Pages>
  <Words>866</Words>
  <Characters>5950</Characters>
  <CharactersWithSpaces>6765</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2026-07-23T00:11:12Z</dcterms:created>
  <dc:creator>Un-named</dc:creator>
  <dc:description/>
  <dc:language>en-US</dc:language>
  <cp:lastModifiedBy/>
  <dcterms:modified xsi:type="dcterms:W3CDTF">2026-07-22T19:16:06Z</dcterms:modified>
  <cp:revision>2</cp:revision>
  <dc:subject/>
  <dc:title/>
</cp:coreProperties>
</file>