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66" w:type="dxa"/>
        <w:jc w:val="center"/>
        <w:tblInd w:w="0" w:type="dxa"/>
        <w:tblLayout w:type="fixed"/>
        <w:tblCellMar>
          <w:top w:w="400" w:type="dxa"/>
          <w:left w:w="300" w:type="dxa"/>
          <w:bottom w:w="400" w:type="dxa"/>
          <w:right w:w="300" w:type="dxa"/>
        </w:tblCellMar>
        <w:tblLook w:firstRow="1" w:noVBand="1" w:lastRow="0" w:firstColumn="1" w:lastColumn="0" w:noHBand="0" w:val="04a0"/>
      </w:tblPr>
      <w:tblGrid>
        <w:gridCol w:w="9866"/>
      </w:tblGrid>
      <w:tr>
        <w:trPr/>
        <w:tc>
          <w:tcPr>
            <w:tcW w:w="9866" w:type="dxa"/>
            <w:tcBorders/>
            <w:shd w:fill="1F4E79"/>
          </w:tcPr>
          <w:p>
            <w:pPr>
              <w:pStyle w:val="Normal"/>
              <w:widowControl w:val="false"/>
              <w:jc w:val="center"/>
              <w:rPr>
                <w:color w:val="000000"/>
              </w:rPr>
            </w:pPr>
            <w:r>
              <w:rPr>
                <w:b/>
                <w:color w:val="000000"/>
                <w:sz w:val="44"/>
              </w:rPr>
              <w:t>ДОМАШНЄ ЗАВДАННЯ 4</w:t>
            </w:r>
          </w:p>
          <w:p>
            <w:pPr>
              <w:pStyle w:val="Normal"/>
              <w:widowControl w:val="false"/>
              <w:spacing w:before="0" w:after="120"/>
              <w:jc w:val="center"/>
              <w:rPr>
                <w:color w:val="000000"/>
              </w:rPr>
            </w:pPr>
            <w:r>
              <w:rPr>
                <w:color w:val="000000"/>
                <w:sz w:val="28"/>
              </w:rPr>
              <w:t>Asset Management and Data Security</w:t>
            </w:r>
          </w:p>
        </w:tc>
      </w:tr>
    </w:tbl>
    <w:p>
      <w:pPr>
        <w:pStyle w:val="Normal"/>
        <w:rPr>
          <w:color w:val="000000"/>
        </w:rPr>
      </w:pPr>
      <w:r>
        <w:rPr>
          <w:color w:val="000000"/>
        </w:rPr>
      </w:r>
    </w:p>
    <w:p>
      <w:pPr>
        <w:pStyle w:val="Normal"/>
        <w:jc w:val="center"/>
        <w:rPr>
          <w:color w:val="000000"/>
        </w:rPr>
      </w:pPr>
      <w:r>
        <w:rPr>
          <w:rFonts w:eastAsia="Liberation Sans"/>
          <w:b/>
          <w:color w:val="000000"/>
          <w:sz w:val="40"/>
        </w:rPr>
        <w:t>Розробка політики керування даними</w:t>
        <w:br/>
        <w:t>на основі попередніх результатів</w:t>
      </w:r>
    </w:p>
    <w:p>
      <w:pPr>
        <w:pStyle w:val="Normal"/>
        <w:jc w:val="center"/>
        <w:rPr>
          <w:color w:val="000000"/>
        </w:rPr>
      </w:pPr>
      <w:r>
        <w:rPr>
          <w:rFonts w:eastAsia="Liberation Sans"/>
          <w:color w:val="000000"/>
          <w:sz w:val="24"/>
        </w:rPr>
        <w:t>Політика доступу, обміну, зберігання, знищення даних</w:t>
        <w:br/>
        <w:t>та визначення власників даних</w:t>
      </w:r>
    </w:p>
    <w:tbl>
      <w:tblPr>
        <w:tblW w:w="9866" w:type="dxa"/>
        <w:jc w:val="center"/>
        <w:tblInd w:w="0" w:type="dxa"/>
        <w:tblLayout w:type="fixed"/>
        <w:tblCellMar>
          <w:top w:w="100" w:type="dxa"/>
          <w:left w:w="110" w:type="dxa"/>
          <w:bottom w:w="100" w:type="dxa"/>
          <w:right w:w="110" w:type="dxa"/>
        </w:tblCellMar>
        <w:tblLook w:firstRow="1" w:noVBand="1" w:lastRow="0" w:firstColumn="1" w:lastColumn="0" w:noHBand="0" w:val="04a0"/>
      </w:tblPr>
      <w:tblGrid>
        <w:gridCol w:w="4933"/>
        <w:gridCol w:w="4932"/>
      </w:tblGrid>
      <w:tr>
        <w:trPr/>
        <w:tc>
          <w:tcPr>
            <w:tcW w:w="4933" w:type="dxa"/>
            <w:tcBorders>
              <w:top w:val="single" w:sz="6" w:space="0" w:color="BFBFBF"/>
              <w:left w:val="single" w:sz="6" w:space="0" w:color="BFBFBF"/>
              <w:bottom w:val="single" w:sz="6" w:space="0" w:color="BFBFBF"/>
              <w:right w:val="single" w:sz="6" w:space="0" w:color="BFBFBF"/>
            </w:tcBorders>
            <w:shd w:fill="D9EAF7"/>
          </w:tcPr>
          <w:p>
            <w:pPr>
              <w:pStyle w:val="Normal"/>
              <w:widowControl w:val="false"/>
              <w:spacing w:before="0" w:after="0"/>
              <w:rPr>
                <w:color w:val="000000"/>
              </w:rPr>
            </w:pPr>
            <w:r>
              <w:rPr>
                <w:b/>
                <w:color w:val="000000"/>
                <w:sz w:val="20"/>
              </w:rPr>
              <w:t>ПІБ</w:t>
            </w:r>
          </w:p>
        </w:tc>
        <w:tc>
          <w:tcPr>
            <w:tcW w:w="4932" w:type="dxa"/>
            <w:tcBorders>
              <w:top w:val="single" w:sz="6" w:space="0" w:color="BFBFBF"/>
              <w:left w:val="single" w:sz="6" w:space="0" w:color="BFBFBF"/>
              <w:bottom w:val="single" w:sz="6" w:space="0" w:color="BFBFBF"/>
              <w:right w:val="single" w:sz="6" w:space="0" w:color="BFBFBF"/>
            </w:tcBorders>
          </w:tcPr>
          <w:p>
            <w:pPr>
              <w:pStyle w:val="Normal"/>
              <w:widowControl w:val="false"/>
              <w:spacing w:before="0" w:after="0"/>
              <w:rPr>
                <w:color w:val="000000"/>
              </w:rPr>
            </w:pPr>
            <w:r>
              <w:rPr>
                <w:color w:val="000000"/>
                <w:sz w:val="20"/>
              </w:rPr>
              <w:t>Ігор Задор</w:t>
            </w:r>
            <w:r>
              <w:rPr>
                <w:color w:val="000000"/>
                <w:sz w:val="20"/>
                <w:lang w:val="uk-UA"/>
              </w:rPr>
              <w:t>ожняк</w:t>
            </w:r>
          </w:p>
        </w:tc>
      </w:tr>
      <w:tr>
        <w:trPr/>
        <w:tc>
          <w:tcPr>
            <w:tcW w:w="4933" w:type="dxa"/>
            <w:tcBorders>
              <w:top w:val="single" w:sz="6" w:space="0" w:color="BFBFBF"/>
              <w:left w:val="single" w:sz="6" w:space="0" w:color="BFBFBF"/>
              <w:bottom w:val="single" w:sz="6" w:space="0" w:color="BFBFBF"/>
              <w:right w:val="single" w:sz="6" w:space="0" w:color="BFBFBF"/>
            </w:tcBorders>
            <w:shd w:fill="D9EAF7"/>
          </w:tcPr>
          <w:p>
            <w:pPr>
              <w:pStyle w:val="Normal"/>
              <w:widowControl w:val="false"/>
              <w:spacing w:before="0" w:after="0"/>
              <w:rPr>
                <w:color w:val="000000"/>
              </w:rPr>
            </w:pPr>
            <w:r>
              <w:rPr>
                <w:b/>
                <w:color w:val="000000"/>
                <w:sz w:val="20"/>
              </w:rPr>
              <w:t>Обрана організація</w:t>
            </w:r>
          </w:p>
        </w:tc>
        <w:tc>
          <w:tcPr>
            <w:tcW w:w="4932" w:type="dxa"/>
            <w:tcBorders>
              <w:top w:val="single" w:sz="6" w:space="0" w:color="BFBFBF"/>
              <w:left w:val="single" w:sz="6" w:space="0" w:color="BFBFBF"/>
              <w:bottom w:val="single" w:sz="6" w:space="0" w:color="BFBFBF"/>
              <w:right w:val="single" w:sz="6" w:space="0" w:color="BFBFBF"/>
            </w:tcBorders>
          </w:tcPr>
          <w:p>
            <w:pPr>
              <w:pStyle w:val="Normal"/>
              <w:widowControl w:val="false"/>
              <w:spacing w:before="0" w:after="0"/>
              <w:rPr>
                <w:color w:val="000000"/>
              </w:rPr>
            </w:pPr>
            <w:r>
              <w:rPr>
                <w:color w:val="000000"/>
                <w:sz w:val="20"/>
              </w:rPr>
              <w:t>Умовна банківська організація</w:t>
            </w:r>
          </w:p>
        </w:tc>
      </w:tr>
      <w:tr>
        <w:trPr/>
        <w:tc>
          <w:tcPr>
            <w:tcW w:w="4933" w:type="dxa"/>
            <w:tcBorders>
              <w:top w:val="single" w:sz="6" w:space="0" w:color="BFBFBF"/>
              <w:left w:val="single" w:sz="6" w:space="0" w:color="BFBFBF"/>
              <w:bottom w:val="single" w:sz="6" w:space="0" w:color="BFBFBF"/>
              <w:right w:val="single" w:sz="6" w:space="0" w:color="BFBFBF"/>
            </w:tcBorders>
            <w:shd w:fill="D9EAF7"/>
          </w:tcPr>
          <w:p>
            <w:pPr>
              <w:pStyle w:val="Normal"/>
              <w:widowControl w:val="false"/>
              <w:spacing w:before="0" w:after="0"/>
              <w:rPr>
                <w:color w:val="000000"/>
              </w:rPr>
            </w:pPr>
            <w:r>
              <w:rPr>
                <w:b/>
                <w:color w:val="000000"/>
                <w:sz w:val="20"/>
              </w:rPr>
              <w:t>Основний ризик</w:t>
            </w:r>
          </w:p>
        </w:tc>
        <w:tc>
          <w:tcPr>
            <w:tcW w:w="4932" w:type="dxa"/>
            <w:tcBorders>
              <w:top w:val="single" w:sz="6" w:space="0" w:color="BFBFBF"/>
              <w:left w:val="single" w:sz="6" w:space="0" w:color="BFBFBF"/>
              <w:bottom w:val="single" w:sz="6" w:space="0" w:color="BFBFBF"/>
              <w:right w:val="single" w:sz="6" w:space="0" w:color="BFBFBF"/>
            </w:tcBorders>
          </w:tcPr>
          <w:p>
            <w:pPr>
              <w:pStyle w:val="Normal"/>
              <w:widowControl w:val="false"/>
              <w:spacing w:before="0" w:after="0"/>
              <w:rPr>
                <w:color w:val="000000"/>
              </w:rPr>
            </w:pPr>
            <w:r>
              <w:rPr>
                <w:color w:val="000000"/>
                <w:sz w:val="20"/>
              </w:rPr>
              <w:t>Витік конфіденційних даних клієнтів банку</w:t>
            </w:r>
          </w:p>
        </w:tc>
      </w:tr>
      <w:tr>
        <w:trPr/>
        <w:tc>
          <w:tcPr>
            <w:tcW w:w="4933" w:type="dxa"/>
            <w:tcBorders>
              <w:top w:val="single" w:sz="6" w:space="0" w:color="BFBFBF"/>
              <w:left w:val="single" w:sz="6" w:space="0" w:color="BFBFBF"/>
              <w:bottom w:val="single" w:sz="6" w:space="0" w:color="BFBFBF"/>
              <w:right w:val="single" w:sz="6" w:space="0" w:color="BFBFBF"/>
            </w:tcBorders>
            <w:shd w:fill="D9EAF7"/>
          </w:tcPr>
          <w:p>
            <w:pPr>
              <w:pStyle w:val="Normal"/>
              <w:widowControl w:val="false"/>
              <w:spacing w:before="0" w:after="0"/>
              <w:rPr>
                <w:color w:val="000000"/>
              </w:rPr>
            </w:pPr>
            <w:r>
              <w:rPr>
                <w:b/>
                <w:color w:val="000000"/>
                <w:sz w:val="20"/>
              </w:rPr>
              <w:t>Формат документа</w:t>
            </w:r>
          </w:p>
        </w:tc>
        <w:tc>
          <w:tcPr>
            <w:tcW w:w="4932" w:type="dxa"/>
            <w:tcBorders>
              <w:top w:val="single" w:sz="6" w:space="0" w:color="BFBFBF"/>
              <w:left w:val="single" w:sz="6" w:space="0" w:color="BFBFBF"/>
              <w:bottom w:val="single" w:sz="6" w:space="0" w:color="BFBFBF"/>
              <w:right w:val="single" w:sz="6" w:space="0" w:color="BFBFBF"/>
            </w:tcBorders>
          </w:tcPr>
          <w:p>
            <w:pPr>
              <w:pStyle w:val="Normal"/>
              <w:widowControl w:val="false"/>
              <w:spacing w:before="0" w:after="0"/>
              <w:rPr>
                <w:color w:val="000000"/>
              </w:rPr>
            </w:pPr>
            <w:r>
              <w:rPr>
                <w:color w:val="000000"/>
                <w:sz w:val="20"/>
              </w:rPr>
              <w:t>Політика керування даними</w:t>
            </w:r>
          </w:p>
        </w:tc>
      </w:tr>
    </w:tbl>
    <w:p>
      <w:pPr>
        <w:pStyle w:val="Normal"/>
        <w:rPr>
          <w:color w:val="000000"/>
        </w:rPr>
      </w:pPr>
      <w:r>
        <w:rPr>
          <w:color w:val="000000"/>
        </w:rPr>
      </w:r>
    </w:p>
    <w:tbl>
      <w:tblPr>
        <w:tblW w:w="9866" w:type="dxa"/>
        <w:jc w:val="center"/>
        <w:tblInd w:w="0" w:type="dxa"/>
        <w:tblLayout w:type="fixed"/>
        <w:tblCellMar>
          <w:top w:w="160" w:type="dxa"/>
          <w:left w:w="180" w:type="dxa"/>
          <w:bottom w:w="160" w:type="dxa"/>
          <w:right w:w="180" w:type="dxa"/>
        </w:tblCellMar>
        <w:tblLook w:firstRow="1" w:noVBand="1" w:lastRow="0" w:firstColumn="1" w:lastColumn="0" w:noHBand="0" w:val="04a0"/>
      </w:tblPr>
      <w:tblGrid>
        <w:gridCol w:w="9866"/>
      </w:tblGrid>
      <w:tr>
        <w:trPr>
          <w:cantSplit w:val="true"/>
        </w:trPr>
        <w:tc>
          <w:tcPr>
            <w:tcW w:w="9866" w:type="dxa"/>
            <w:tcBorders/>
            <w:shd w:fill="E2F0D9"/>
          </w:tcPr>
          <w:p>
            <w:pPr>
              <w:pStyle w:val="Normal"/>
              <w:widowControl w:val="false"/>
              <w:spacing w:before="0" w:after="80"/>
              <w:rPr>
                <w:color w:val="000000"/>
              </w:rPr>
            </w:pPr>
            <w:r>
              <w:rPr>
                <w:b/>
                <w:color w:val="000000"/>
              </w:rPr>
              <w:t>Короткий опис документа</w:t>
            </w:r>
          </w:p>
          <w:p>
            <w:pPr>
              <w:pStyle w:val="Normal"/>
              <w:widowControl w:val="false"/>
              <w:spacing w:before="0" w:after="0"/>
              <w:jc w:val="both"/>
              <w:rPr>
                <w:color w:val="000000"/>
              </w:rPr>
            </w:pPr>
            <w:r>
              <w:rPr>
                <w:color w:val="000000"/>
              </w:rPr>
              <w:t>Документ описує правила доступу, обміну, зберігання та знищення даних у банківській організації. Також визначено власників даних і їхні обов’язки щодо конфіденційності, цілісності та доступності інформації.</w:t>
            </w:r>
          </w:p>
        </w:tc>
      </w:tr>
    </w:tbl>
    <w:p>
      <w:pPr>
        <w:pStyle w:val="Normal"/>
        <w:rPr>
          <w:color w:val="000000"/>
        </w:rPr>
      </w:pPr>
      <w:r>
        <w:rPr>
          <w:color w:val="000000"/>
        </w:rPr>
      </w:r>
      <w:r>
        <w:br w:type="page"/>
      </w:r>
    </w:p>
    <w:p>
      <w:pPr>
        <w:pStyle w:val="Heading1"/>
        <w:keepNext w:val="true"/>
        <w:rPr>
          <w:color w:val="000000"/>
        </w:rPr>
      </w:pPr>
      <w:r>
        <w:rPr>
          <w:rFonts w:eastAsia="Liberation Sans" w:ascii="Liberation Sans" w:hAnsi="Liberation Sans"/>
          <w:color w:val="000000"/>
        </w:rPr>
        <w:t>Зміст документа</w:t>
      </w:r>
    </w:p>
    <w:p>
      <w:pPr>
        <w:pStyle w:val="ListBullet"/>
        <w:numPr>
          <w:ilvl w:val="0"/>
          <w:numId w:val="1"/>
        </w:numPr>
        <w:rPr>
          <w:color w:val="000000"/>
        </w:rPr>
      </w:pPr>
      <w:r>
        <w:rPr>
          <w:rFonts w:eastAsia="Liberation Sans"/>
          <w:color w:val="000000"/>
        </w:rPr>
        <w:t>1. Мета документа</w:t>
      </w:r>
    </w:p>
    <w:p>
      <w:pPr>
        <w:pStyle w:val="ListBullet"/>
        <w:numPr>
          <w:ilvl w:val="0"/>
          <w:numId w:val="1"/>
        </w:numPr>
        <w:rPr>
          <w:color w:val="000000"/>
        </w:rPr>
      </w:pPr>
      <w:r>
        <w:rPr>
          <w:rFonts w:eastAsia="Liberation Sans"/>
          <w:color w:val="000000"/>
        </w:rPr>
        <w:t>2. Використання попередніх результатів</w:t>
      </w:r>
    </w:p>
    <w:p>
      <w:pPr>
        <w:pStyle w:val="ListBullet"/>
        <w:numPr>
          <w:ilvl w:val="0"/>
          <w:numId w:val="1"/>
        </w:numPr>
        <w:rPr>
          <w:color w:val="000000"/>
        </w:rPr>
      </w:pPr>
      <w:r>
        <w:rPr>
          <w:rFonts w:eastAsia="Liberation Sans"/>
          <w:color w:val="000000"/>
        </w:rPr>
        <w:t>3. Методологічна основа політики</w:t>
      </w:r>
    </w:p>
    <w:p>
      <w:pPr>
        <w:pStyle w:val="ListBullet"/>
        <w:numPr>
          <w:ilvl w:val="0"/>
          <w:numId w:val="1"/>
        </w:numPr>
        <w:rPr>
          <w:color w:val="000000"/>
        </w:rPr>
      </w:pPr>
      <w:r>
        <w:rPr>
          <w:rFonts w:eastAsia="Liberation Sans"/>
          <w:color w:val="000000"/>
        </w:rPr>
        <w:t>4. Політика доступу до даних</w:t>
      </w:r>
    </w:p>
    <w:p>
      <w:pPr>
        <w:pStyle w:val="ListBullet"/>
        <w:numPr>
          <w:ilvl w:val="0"/>
          <w:numId w:val="1"/>
        </w:numPr>
        <w:rPr>
          <w:color w:val="000000"/>
        </w:rPr>
      </w:pPr>
      <w:r>
        <w:rPr>
          <w:rFonts w:eastAsia="Liberation Sans"/>
          <w:color w:val="000000"/>
        </w:rPr>
        <w:t>5. Політика обміну даними</w:t>
      </w:r>
    </w:p>
    <w:p>
      <w:pPr>
        <w:pStyle w:val="ListBullet"/>
        <w:numPr>
          <w:ilvl w:val="0"/>
          <w:numId w:val="1"/>
        </w:numPr>
        <w:rPr>
          <w:color w:val="000000"/>
        </w:rPr>
      </w:pPr>
      <w:r>
        <w:rPr>
          <w:rFonts w:eastAsia="Liberation Sans"/>
          <w:color w:val="000000"/>
        </w:rPr>
        <w:t>6. Політика зберігання даних</w:t>
      </w:r>
    </w:p>
    <w:p>
      <w:pPr>
        <w:pStyle w:val="ListBullet"/>
        <w:numPr>
          <w:ilvl w:val="0"/>
          <w:numId w:val="1"/>
        </w:numPr>
        <w:rPr>
          <w:color w:val="000000"/>
        </w:rPr>
      </w:pPr>
      <w:r>
        <w:rPr>
          <w:rFonts w:eastAsia="Liberation Sans"/>
          <w:color w:val="000000"/>
        </w:rPr>
        <w:t>7. Політика знищення даних</w:t>
      </w:r>
    </w:p>
    <w:p>
      <w:pPr>
        <w:pStyle w:val="ListBullet"/>
        <w:numPr>
          <w:ilvl w:val="0"/>
          <w:numId w:val="1"/>
        </w:numPr>
        <w:rPr>
          <w:color w:val="000000"/>
        </w:rPr>
      </w:pPr>
      <w:r>
        <w:rPr>
          <w:rFonts w:eastAsia="Liberation Sans"/>
          <w:color w:val="000000"/>
        </w:rPr>
        <w:t>8. Ідентифікація власників даних</w:t>
      </w:r>
    </w:p>
    <w:p>
      <w:pPr>
        <w:pStyle w:val="ListBullet"/>
        <w:numPr>
          <w:ilvl w:val="0"/>
          <w:numId w:val="1"/>
        </w:numPr>
        <w:rPr>
          <w:color w:val="000000"/>
        </w:rPr>
      </w:pPr>
      <w:r>
        <w:rPr>
          <w:rFonts w:eastAsia="Liberation Sans"/>
          <w:color w:val="000000"/>
        </w:rPr>
        <w:t>9. Обов’язки власників даних щодо CIA</w:t>
      </w:r>
    </w:p>
    <w:p>
      <w:pPr>
        <w:pStyle w:val="ListBullet"/>
        <w:numPr>
          <w:ilvl w:val="0"/>
          <w:numId w:val="1"/>
        </w:numPr>
        <w:rPr>
          <w:color w:val="000000"/>
        </w:rPr>
      </w:pPr>
      <w:r>
        <w:rPr>
          <w:rFonts w:eastAsia="Liberation Sans"/>
          <w:color w:val="000000"/>
        </w:rPr>
        <w:t>10. Додаткові організаційні правила</w:t>
      </w:r>
    </w:p>
    <w:p>
      <w:pPr>
        <w:pStyle w:val="ListBullet"/>
        <w:numPr>
          <w:ilvl w:val="0"/>
          <w:numId w:val="1"/>
        </w:numPr>
        <w:rPr>
          <w:color w:val="000000"/>
        </w:rPr>
      </w:pPr>
      <w:r>
        <w:rPr>
          <w:rFonts w:eastAsia="Liberation Sans"/>
          <w:color w:val="000000"/>
        </w:rPr>
        <w:t>11. Відповідальність за порушення політики</w:t>
      </w:r>
    </w:p>
    <w:p>
      <w:pPr>
        <w:pStyle w:val="ListBullet"/>
        <w:numPr>
          <w:ilvl w:val="0"/>
          <w:numId w:val="1"/>
        </w:numPr>
        <w:rPr>
          <w:color w:val="000000"/>
        </w:rPr>
      </w:pPr>
      <w:r>
        <w:rPr>
          <w:rFonts w:eastAsia="Liberation Sans"/>
          <w:color w:val="000000"/>
        </w:rPr>
        <w:t>12. Перегляд і оновлення політики</w:t>
      </w:r>
    </w:p>
    <w:p>
      <w:pPr>
        <w:pStyle w:val="ListBullet"/>
        <w:numPr>
          <w:ilvl w:val="0"/>
          <w:numId w:val="1"/>
        </w:numPr>
        <w:rPr>
          <w:color w:val="000000"/>
        </w:rPr>
      </w:pPr>
      <w:r>
        <w:rPr>
          <w:rFonts w:eastAsia="Liberation Sans"/>
          <w:color w:val="000000"/>
        </w:rPr>
        <w:t>13. Чек-лист відповідності критеріям</w:t>
      </w:r>
    </w:p>
    <w:p>
      <w:pPr>
        <w:pStyle w:val="ListBullet"/>
        <w:numPr>
          <w:ilvl w:val="0"/>
          <w:numId w:val="1"/>
        </w:numPr>
        <w:rPr>
          <w:color w:val="000000"/>
        </w:rPr>
      </w:pPr>
      <w:r>
        <w:rPr>
          <w:rFonts w:eastAsia="Liberation Sans"/>
          <w:color w:val="000000"/>
        </w:rPr>
        <w:t>14. Висновок</w:t>
      </w:r>
    </w:p>
    <w:p>
      <w:pPr>
        <w:pStyle w:val="ListBullet"/>
        <w:numPr>
          <w:ilvl w:val="0"/>
          <w:numId w:val="1"/>
        </w:numPr>
        <w:rPr>
          <w:color w:val="000000"/>
        </w:rPr>
      </w:pPr>
      <w:r>
        <w:rPr>
          <w:rFonts w:eastAsia="Liberation Sans"/>
          <w:color w:val="000000"/>
        </w:rPr>
        <w:t>15. Короткий коментар для LMS</w:t>
      </w:r>
    </w:p>
    <w:p>
      <w:pPr>
        <w:pStyle w:val="ListBullet"/>
        <w:numPr>
          <w:ilvl w:val="0"/>
          <w:numId w:val="1"/>
        </w:numPr>
        <w:rPr>
          <w:color w:val="000000"/>
        </w:rPr>
      </w:pPr>
      <w:r>
        <w:rPr>
          <w:rFonts w:eastAsia="Liberation Sans"/>
          <w:color w:val="000000"/>
        </w:rPr>
        <w:t>16. Використані джерела та стандарти</w:t>
      </w:r>
    </w:p>
    <w:tbl>
      <w:tblPr>
        <w:tblW w:w="9866" w:type="dxa"/>
        <w:jc w:val="center"/>
        <w:tblInd w:w="0" w:type="dxa"/>
        <w:tblLayout w:type="fixed"/>
        <w:tblCellMar>
          <w:top w:w="160" w:type="dxa"/>
          <w:left w:w="180" w:type="dxa"/>
          <w:bottom w:w="160" w:type="dxa"/>
          <w:right w:w="180" w:type="dxa"/>
        </w:tblCellMar>
        <w:tblLook w:firstRow="1" w:noVBand="1" w:lastRow="0" w:firstColumn="1" w:lastColumn="0" w:noHBand="0" w:val="04a0"/>
      </w:tblPr>
      <w:tblGrid>
        <w:gridCol w:w="9866"/>
      </w:tblGrid>
      <w:tr>
        <w:trPr>
          <w:cantSplit w:val="true"/>
        </w:trPr>
        <w:tc>
          <w:tcPr>
            <w:tcW w:w="9866" w:type="dxa"/>
            <w:tcBorders/>
            <w:shd w:fill="FFF2CC"/>
          </w:tcPr>
          <w:p>
            <w:pPr>
              <w:pStyle w:val="Normal"/>
              <w:widowControl w:val="false"/>
              <w:spacing w:before="0" w:after="80"/>
              <w:rPr>
                <w:color w:val="000000"/>
              </w:rPr>
            </w:pPr>
            <w:r>
              <w:rPr>
                <w:b/>
                <w:color w:val="000000"/>
              </w:rPr>
              <w:t>Примітка</w:t>
            </w:r>
          </w:p>
          <w:p>
            <w:pPr>
              <w:pStyle w:val="Normal"/>
              <w:widowControl w:val="false"/>
              <w:spacing w:before="0" w:after="0"/>
              <w:rPr>
                <w:color w:val="000000"/>
              </w:rPr>
            </w:pPr>
            <w:r>
              <w:rPr>
                <w:color w:val="000000"/>
              </w:rPr>
              <w:t>Зміст подано як структурний перелік розділів. Після завантаження у Google Docs за потреби можна автоматично додати зміст через меню: Insert → Table of contents.</w:t>
            </w:r>
          </w:p>
        </w:tc>
      </w:tr>
    </w:tbl>
    <w:p>
      <w:pPr>
        <w:pStyle w:val="Normal"/>
        <w:rPr>
          <w:color w:val="000000"/>
        </w:rPr>
      </w:pPr>
      <w:r>
        <w:rPr>
          <w:color w:val="000000"/>
        </w:rPr>
      </w:r>
      <w:r>
        <w:br w:type="page"/>
      </w:r>
    </w:p>
    <w:p>
      <w:pPr>
        <w:pStyle w:val="Heading1"/>
        <w:keepNext w:val="true"/>
        <w:spacing w:before="0" w:after="0"/>
        <w:rPr>
          <w:color w:val="000000"/>
        </w:rPr>
      </w:pPr>
      <w:r>
        <w:rPr>
          <w:rFonts w:eastAsia="Liberation Sans" w:ascii="Liberation Sans" w:hAnsi="Liberation Sans"/>
          <w:color w:val="000000"/>
        </w:rPr>
        <w:t>1. Мета документа</w:t>
      </w:r>
    </w:p>
    <w:p>
      <w:pPr>
        <w:pStyle w:val="Normal"/>
        <w:jc w:val="both"/>
        <w:rPr>
          <w:color w:val="000000"/>
        </w:rPr>
      </w:pPr>
      <w:r>
        <w:rPr>
          <w:rFonts w:eastAsia="Liberation Sans"/>
          <w:color w:val="000000"/>
        </w:rPr>
        <w:t>Метою цього документа є розробка політики керування даними для банківської організації на основі попередньо визначених активів, категорій даних та результатів аналізу ризиків.</w:t>
      </w:r>
    </w:p>
    <w:p>
      <w:pPr>
        <w:pStyle w:val="Normal"/>
        <w:jc w:val="both"/>
        <w:rPr>
          <w:color w:val="000000"/>
        </w:rPr>
      </w:pPr>
      <w:r>
        <w:rPr>
          <w:rFonts w:eastAsia="Liberation Sans"/>
          <w:color w:val="000000"/>
        </w:rPr>
        <w:t>Політика визначає правила доступу, обміну, зберігання та знищення даних. Також у документі визначено власників даних, їхні обов’язки щодо забезпечення конфіденційності, цілісності та доступності інформації.</w:t>
      </w:r>
    </w:p>
    <w:p>
      <w:pPr>
        <w:pStyle w:val="Normal"/>
        <w:jc w:val="both"/>
        <w:rPr>
          <w:color w:val="000000"/>
        </w:rPr>
      </w:pPr>
      <w:r>
        <w:rPr>
          <w:rFonts w:eastAsia="Liberation Sans"/>
          <w:color w:val="000000"/>
        </w:rPr>
        <w:t>Ця політика спрямована на зменшення ризику витоку конфіденційної інформації, несанкціонованого доступу, втрати даних, пошкодження інформаційних активів та порушення вимог безпеки.</w:t>
      </w:r>
    </w:p>
    <w:p>
      <w:pPr>
        <w:pStyle w:val="Heading1"/>
        <w:keepNext w:val="true"/>
        <w:spacing w:before="0" w:after="0"/>
        <w:rPr>
          <w:color w:val="000000"/>
        </w:rPr>
      </w:pPr>
      <w:r>
        <w:rPr>
          <w:rFonts w:eastAsia="Liberation Sans" w:ascii="Liberation Sans" w:hAnsi="Liberation Sans"/>
          <w:color w:val="000000"/>
        </w:rPr>
        <w:t>2. Використання попередніх результатів</w:t>
      </w:r>
    </w:p>
    <w:p>
      <w:pPr>
        <w:pStyle w:val="Normal"/>
        <w:jc w:val="both"/>
        <w:rPr>
          <w:color w:val="000000"/>
        </w:rPr>
      </w:pPr>
      <w:r>
        <w:rPr>
          <w:rFonts w:eastAsia="Liberation Sans"/>
          <w:color w:val="000000"/>
        </w:rPr>
        <w:t>У попередніх завданнях було обрано банківську організацію, для якої основним ризиком визначено витік конфіденційних даних клієнтів. У попередньому аналізі ризиків було встановлено, що цей ризик є високим, оскільки потенційна частота атак і можливі фінансові втрати є суттєвими.</w:t>
      </w:r>
    </w:p>
    <w:p>
      <w:pPr>
        <w:pStyle w:val="Normal"/>
        <w:jc w:val="both"/>
        <w:rPr>
          <w:color w:val="000000"/>
        </w:rPr>
      </w:pPr>
      <w:r>
        <w:rPr>
          <w:rFonts w:eastAsia="Liberation Sans"/>
          <w:color w:val="000000"/>
        </w:rPr>
        <w:t>Для зменшення ризику було визначено такі базові заходи контролю: багатофакторна автентифікація, навчання персоналу щодо фішингу, SIEM і моніторинг логів, фізичний контроль доступу, резервне копіювання та Disaster Recovery.</w:t>
      </w:r>
    </w:p>
    <w:p>
      <w:pPr>
        <w:pStyle w:val="Heading2"/>
        <w:keepNext w:val="true"/>
        <w:spacing w:before="0" w:after="0"/>
        <w:rPr>
          <w:color w:val="000000"/>
        </w:rPr>
      </w:pPr>
      <w:r>
        <w:rPr>
          <w:rFonts w:eastAsia="Liberation Sans" w:ascii="Liberation Sans" w:hAnsi="Liberation Sans"/>
          <w:color w:val="000000"/>
        </w:rPr>
        <w:t>2.1. Основні категорії даних</w:t>
      </w:r>
    </w:p>
    <w:tbl>
      <w:tblPr>
        <w:tblStyle w:val="TableGrid"/>
        <w:tblW w:w="9864" w:type="dxa"/>
        <w:jc w:val="center"/>
        <w:tblInd w:w="0" w:type="dxa"/>
        <w:tblLayout w:type="fixed"/>
        <w:tblCellMar>
          <w:top w:w="110" w:type="dxa"/>
          <w:left w:w="100" w:type="dxa"/>
          <w:bottom w:w="110" w:type="dxa"/>
          <w:right w:w="100" w:type="dxa"/>
        </w:tblCellMar>
        <w:tblLook w:firstRow="1" w:noVBand="1" w:lastRow="0" w:firstColumn="1" w:lastColumn="0" w:noHBand="0" w:val="04a0"/>
      </w:tblPr>
      <w:tblGrid>
        <w:gridCol w:w="2466"/>
        <w:gridCol w:w="2466"/>
        <w:gridCol w:w="2466"/>
        <w:gridCol w:w="2465"/>
      </w:tblGrid>
      <w:tr>
        <w:trPr>
          <w:tblHeader w:val="true"/>
        </w:trPr>
        <w:tc>
          <w:tcPr>
            <w:tcW w:w="2466"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Категорія даних</w:t>
            </w:r>
          </w:p>
        </w:tc>
        <w:tc>
          <w:tcPr>
            <w:tcW w:w="2466"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Приклади даних</w:t>
            </w:r>
          </w:p>
        </w:tc>
        <w:tc>
          <w:tcPr>
            <w:tcW w:w="2466"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Основні активи</w:t>
            </w:r>
          </w:p>
        </w:tc>
        <w:tc>
          <w:tcPr>
            <w:tcW w:w="2465"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Рівень чутливості</w:t>
            </w:r>
          </w:p>
        </w:tc>
      </w:tr>
      <w:tr>
        <w:trPr/>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Клієнтські дані</w:t>
            </w:r>
          </w:p>
        </w:tc>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ПІБ клієнтів, адреси, телефони, email, паспортні дані, ідентифікаційні номери</w:t>
            </w:r>
          </w:p>
        </w:tc>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CRM-система, база клієнтів, банківські застосунки</w:t>
            </w:r>
          </w:p>
        </w:tc>
        <w:tc>
          <w:tcPr>
            <w:tcW w:w="2465"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Високий</w:t>
            </w:r>
          </w:p>
        </w:tc>
      </w:tr>
      <w:tr>
        <w:trPr/>
        <w:tc>
          <w:tcPr>
            <w:tcW w:w="2466"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Фінансові дані</w:t>
            </w:r>
          </w:p>
        </w:tc>
        <w:tc>
          <w:tcPr>
            <w:tcW w:w="2466"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Баланси рахунків, транзакції, кредити, платежі, фінансова звітність</w:t>
            </w:r>
          </w:p>
        </w:tc>
        <w:tc>
          <w:tcPr>
            <w:tcW w:w="2466"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Core banking system, бухгалтерська система, платіжні шлюзи</w:t>
            </w:r>
          </w:p>
        </w:tc>
        <w:tc>
          <w:tcPr>
            <w:tcW w:w="2465"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Критичний</w:t>
            </w:r>
          </w:p>
        </w:tc>
      </w:tr>
      <w:tr>
        <w:trPr/>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Платіжні дані</w:t>
            </w:r>
          </w:p>
        </w:tc>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Дані карток, реквізити платежів, історія операцій</w:t>
            </w:r>
          </w:p>
        </w:tc>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Платіжна система, процесингові сервіси</w:t>
            </w:r>
          </w:p>
        </w:tc>
        <w:tc>
          <w:tcPr>
            <w:tcW w:w="2465"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Критичний</w:t>
            </w:r>
          </w:p>
        </w:tc>
      </w:tr>
      <w:tr>
        <w:trPr/>
        <w:tc>
          <w:tcPr>
            <w:tcW w:w="2466"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Внутрішні корпоративні дані</w:t>
            </w:r>
          </w:p>
        </w:tc>
        <w:tc>
          <w:tcPr>
            <w:tcW w:w="2466"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Внутрішні документи, політики, процедури, службове листування</w:t>
            </w:r>
          </w:p>
        </w:tc>
        <w:tc>
          <w:tcPr>
            <w:tcW w:w="2466"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Google Workspace / Microsoft 365, внутрішній файловий сервер</w:t>
            </w:r>
          </w:p>
        </w:tc>
        <w:tc>
          <w:tcPr>
            <w:tcW w:w="2465"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Середній / високий</w:t>
            </w:r>
          </w:p>
        </w:tc>
      </w:tr>
      <w:tr>
        <w:trPr/>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Дані працівників</w:t>
            </w:r>
          </w:p>
        </w:tc>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Особові справи, зарплата, контакти, документи HR</w:t>
            </w:r>
          </w:p>
        </w:tc>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HR-система, бухгалтерія</w:t>
            </w:r>
          </w:p>
        </w:tc>
        <w:tc>
          <w:tcPr>
            <w:tcW w:w="2465"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Високий</w:t>
            </w:r>
          </w:p>
        </w:tc>
      </w:tr>
      <w:tr>
        <w:trPr/>
        <w:tc>
          <w:tcPr>
            <w:tcW w:w="2466"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Технічні та security-дані</w:t>
            </w:r>
          </w:p>
        </w:tc>
        <w:tc>
          <w:tcPr>
            <w:tcW w:w="2466"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Логи, SIEM-події, облікові записи, конфігурації серверів, резервні копії</w:t>
            </w:r>
          </w:p>
        </w:tc>
        <w:tc>
          <w:tcPr>
            <w:tcW w:w="2466"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SIEM, сервери, мережеве обладнання, backup-сховище</w:t>
            </w:r>
          </w:p>
        </w:tc>
        <w:tc>
          <w:tcPr>
            <w:tcW w:w="2465"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Високий / критичний</w:t>
            </w:r>
          </w:p>
        </w:tc>
      </w:tr>
      <w:tr>
        <w:trPr/>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Публічні дані</w:t>
            </w:r>
          </w:p>
        </w:tc>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Інформація на сайті, рекламні матеріали, публічні контакти</w:t>
            </w:r>
          </w:p>
        </w:tc>
        <w:tc>
          <w:tcPr>
            <w:tcW w:w="2466"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Вебсайт, соціальні мережі</w:t>
            </w:r>
          </w:p>
        </w:tc>
        <w:tc>
          <w:tcPr>
            <w:tcW w:w="2465"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Низький</w:t>
            </w:r>
          </w:p>
        </w:tc>
      </w:tr>
    </w:tbl>
    <w:p>
      <w:pPr>
        <w:pStyle w:val="Normal"/>
        <w:rPr>
          <w:color w:val="000000"/>
        </w:rPr>
      </w:pPr>
      <w:r>
        <w:rPr>
          <w:color w:val="000000"/>
        </w:rPr>
      </w:r>
    </w:p>
    <w:p>
      <w:pPr>
        <w:pStyle w:val="Heading1"/>
        <w:keepNext w:val="true"/>
        <w:spacing w:before="0" w:after="0"/>
        <w:rPr>
          <w:b/>
          <w:b/>
          <w:bCs/>
          <w:color w:val="000000"/>
        </w:rPr>
      </w:pPr>
      <w:r>
        <w:rPr>
          <w:rFonts w:eastAsia="Liberation Sans" w:ascii="Liberation Sans" w:hAnsi="Liberation Sans"/>
          <w:b/>
          <w:bCs/>
          <w:color w:val="000000"/>
        </w:rPr>
        <w:t>3. Методологічна основа політики</w:t>
      </w:r>
    </w:p>
    <w:p>
      <w:pPr>
        <w:pStyle w:val="Normal"/>
        <w:jc w:val="both"/>
        <w:rPr>
          <w:color w:val="000000"/>
        </w:rPr>
      </w:pPr>
      <w:r>
        <w:rPr>
          <w:rFonts w:eastAsia="Liberation Sans"/>
          <w:color w:val="000000"/>
        </w:rPr>
        <w:t>Політика враховує загальноприйняті підходи до кібербезпеки та керування інформаційними активами. Для структурування правил використано принципи керування ризиками, захисту інформаційних активів, мінімальних привілеїв, журналювання, шифрування, контролю доступу та безпечного знищення даних.</w:t>
      </w:r>
    </w:p>
    <w:p>
      <w:pPr>
        <w:pStyle w:val="Normal"/>
        <w:jc w:val="both"/>
        <w:rPr>
          <w:color w:val="000000"/>
        </w:rPr>
      </w:pPr>
      <w:r>
        <w:rPr>
          <w:rFonts w:eastAsia="Liberation Sans"/>
          <w:color w:val="000000"/>
        </w:rPr>
        <w:t>Як орієнтири для політики можуть використовуватися NIST Cybersecurity Framework, ISO/IEC 27001, ISO/IEC 27002, NIST SP 800-88 та принципи захисту персональних даних, зокрема мінімізація даних, обмеження строку зберігання, конфіденційність, цілісність і підзвітність.</w:t>
      </w:r>
    </w:p>
    <w:tbl>
      <w:tblPr>
        <w:tblW w:w="9866" w:type="dxa"/>
        <w:jc w:val="center"/>
        <w:tblInd w:w="0" w:type="dxa"/>
        <w:tblLayout w:type="fixed"/>
        <w:tblCellMar>
          <w:top w:w="160" w:type="dxa"/>
          <w:left w:w="180" w:type="dxa"/>
          <w:bottom w:w="160" w:type="dxa"/>
          <w:right w:w="180" w:type="dxa"/>
        </w:tblCellMar>
        <w:tblLook w:firstRow="1" w:noVBand="1" w:lastRow="0" w:firstColumn="1" w:lastColumn="0" w:noHBand="0" w:val="04a0"/>
      </w:tblPr>
      <w:tblGrid>
        <w:gridCol w:w="9866"/>
      </w:tblGrid>
      <w:tr>
        <w:trPr>
          <w:cantSplit w:val="true"/>
        </w:trPr>
        <w:tc>
          <w:tcPr>
            <w:tcW w:w="9866" w:type="dxa"/>
            <w:tcBorders/>
            <w:shd w:fill="D9EAF7"/>
          </w:tcPr>
          <w:p>
            <w:pPr>
              <w:pStyle w:val="Normal"/>
              <w:widowControl w:val="false"/>
              <w:spacing w:before="0" w:after="80"/>
              <w:rPr>
                <w:color w:val="000000"/>
              </w:rPr>
            </w:pPr>
            <w:r>
              <w:rPr>
                <w:b/>
                <w:color w:val="000000"/>
              </w:rPr>
              <w:t>Ключова ідея</w:t>
            </w:r>
          </w:p>
          <w:p>
            <w:pPr>
              <w:pStyle w:val="Normal"/>
              <w:widowControl w:val="false"/>
              <w:spacing w:before="0" w:after="0"/>
              <w:jc w:val="both"/>
              <w:rPr>
                <w:color w:val="000000"/>
              </w:rPr>
            </w:pPr>
            <w:r>
              <w:rPr>
                <w:color w:val="000000"/>
              </w:rPr>
              <w:t>Політика керування даними повинна відповідати реальним активам організації: де дані зберігаються, хто ними користується, як вони передаються, як довго зберігаються і як видаляються.</w:t>
            </w:r>
          </w:p>
        </w:tc>
      </w:tr>
    </w:tbl>
    <w:p>
      <w:pPr>
        <w:pStyle w:val="Heading1"/>
        <w:keepNext w:val="true"/>
        <w:spacing w:before="0" w:after="0"/>
        <w:rPr>
          <w:color w:val="000000"/>
        </w:rPr>
      </w:pPr>
      <w:r>
        <w:rPr>
          <w:rFonts w:eastAsia="Liberation Sans" w:ascii="Liberation Sans" w:hAnsi="Liberation Sans"/>
          <w:color w:val="000000"/>
        </w:rPr>
        <w:t>4. Політика доступу до даних</w:t>
      </w:r>
    </w:p>
    <w:p>
      <w:pPr>
        <w:pStyle w:val="Heading2"/>
        <w:keepNext w:val="true"/>
        <w:spacing w:before="0" w:after="0"/>
        <w:rPr>
          <w:color w:val="000000"/>
        </w:rPr>
      </w:pPr>
      <w:r>
        <w:rPr>
          <w:rFonts w:eastAsia="Liberation Sans" w:ascii="Liberation Sans" w:hAnsi="Liberation Sans"/>
          <w:color w:val="000000"/>
        </w:rPr>
        <w:t>4.1. Загальні принципи доступу</w:t>
      </w:r>
    </w:p>
    <w:p>
      <w:pPr>
        <w:pStyle w:val="Normal"/>
        <w:jc w:val="both"/>
        <w:rPr>
          <w:color w:val="000000"/>
        </w:rPr>
      </w:pPr>
      <w:r>
        <w:rPr>
          <w:rFonts w:eastAsia="Liberation Sans"/>
          <w:color w:val="000000"/>
        </w:rPr>
        <w:t>Доступ до даних банку надається лише відповідно до службових обов’язків працівника. Основним принципом є принцип мінімальних привілеїв: кожен працівник отримує тільки той рівень доступу, який потрібен для виконання його роботи.</w:t>
      </w:r>
    </w:p>
    <w:p>
      <w:pPr>
        <w:pStyle w:val="Normal"/>
        <w:jc w:val="both"/>
        <w:rPr>
          <w:color w:val="000000"/>
        </w:rPr>
      </w:pPr>
      <w:r>
        <w:rPr>
          <w:rFonts w:eastAsia="Liberation Sans"/>
          <w:color w:val="000000"/>
        </w:rPr>
        <w:t>Доступ до конфіденційних і критичних даних не може надаватися автоматично або без погодження відповідального власника даних. Усі запити на доступ мають бути задокументовані, погоджені керівником підрозділу та перевірені IT/Security-відділом.</w:t>
      </w:r>
    </w:p>
    <w:p>
      <w:pPr>
        <w:pStyle w:val="Heading2"/>
        <w:keepNext w:val="true"/>
        <w:spacing w:before="0" w:after="0"/>
        <w:rPr>
          <w:color w:val="000000"/>
        </w:rPr>
      </w:pPr>
      <w:r>
        <w:rPr>
          <w:rFonts w:eastAsia="Liberation Sans" w:ascii="Liberation Sans" w:hAnsi="Liberation Sans"/>
          <w:color w:val="000000"/>
        </w:rPr>
        <w:t>4.2. Рівні доступу за ролями</w:t>
      </w:r>
    </w:p>
    <w:tbl>
      <w:tblPr>
        <w:tblStyle w:val="TableGrid"/>
        <w:tblW w:w="9867" w:type="dxa"/>
        <w:jc w:val="center"/>
        <w:tblInd w:w="0" w:type="dxa"/>
        <w:tblLayout w:type="fixed"/>
        <w:tblCellMar>
          <w:top w:w="110" w:type="dxa"/>
          <w:left w:w="100" w:type="dxa"/>
          <w:bottom w:w="110" w:type="dxa"/>
          <w:right w:w="100" w:type="dxa"/>
        </w:tblCellMar>
        <w:tblLook w:firstRow="1" w:noVBand="1" w:lastRow="0" w:firstColumn="1" w:lastColumn="0" w:noHBand="0" w:val="04a0"/>
      </w:tblPr>
      <w:tblGrid>
        <w:gridCol w:w="3289"/>
        <w:gridCol w:w="3289"/>
        <w:gridCol w:w="3289"/>
      </w:tblGrid>
      <w:tr>
        <w:trPr>
          <w:tblHeader w:val="true"/>
        </w:trPr>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Роль</w:t>
            </w:r>
          </w:p>
        </w:tc>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Дозволений доступ</w:t>
            </w:r>
          </w:p>
        </w:tc>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Обмеження</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Керівництво банку</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Аналітичні звіти, фінансові показники, агреговані клієнтські дані</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Не повинно мати прямого доступу до технічних облікових записів або сирих баз даних без потреби</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Фінансовий відділ</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Фінансові операції, звітність, бухгалтерські документи</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Доступ лише до фінансових даних у межах службових задач</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Клієнтський відділ</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Дані клієнтів, необхідні для обслуговування</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Заборонено масове вивантаження клієнтської бази без погодження</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IT-відділ</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Сервери, системи, резервні копії, технічні журнали</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Не повинен переглядати зміст клієнтських і фінансових даних без офіційної потреби</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Security/SOC</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SIEM, логи, інциденти, події безпеки</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Доступ використовується лише для моніторингу, розслідувань і реагування</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HR-відділ</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Дані працівників</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Немає доступу до клієнтських і платіжних даних</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Аудит / Compliance</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Дані для перевірок, політики, журнали доступу</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Доступ тимчасовий, контрольований і логований</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Зовнішні підрядники</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Лише мінімальний технічний доступ за договором</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Доступ обмежений у часі, під NDA, з MFA та журналюванням</w:t>
            </w:r>
          </w:p>
        </w:tc>
      </w:tr>
    </w:tbl>
    <w:p>
      <w:pPr>
        <w:pStyle w:val="Normal"/>
        <w:rPr>
          <w:color w:val="000000"/>
        </w:rPr>
      </w:pPr>
      <w:r>
        <w:rPr>
          <w:color w:val="000000"/>
        </w:rPr>
      </w:r>
    </w:p>
    <w:p>
      <w:pPr>
        <w:pStyle w:val="Heading2"/>
        <w:keepNext w:val="true"/>
        <w:spacing w:before="0" w:after="0"/>
        <w:rPr>
          <w:color w:val="000000"/>
        </w:rPr>
      </w:pPr>
      <w:r>
        <w:rPr>
          <w:rFonts w:eastAsia="Liberation Sans" w:ascii="Liberation Sans" w:hAnsi="Liberation Sans"/>
          <w:color w:val="000000"/>
        </w:rPr>
        <w:t>4.3. Вимоги до автентифікації</w:t>
      </w:r>
    </w:p>
    <w:p>
      <w:pPr>
        <w:pStyle w:val="Normal"/>
        <w:jc w:val="both"/>
        <w:rPr>
          <w:color w:val="000000"/>
        </w:rPr>
      </w:pPr>
      <w:r>
        <w:rPr>
          <w:rFonts w:eastAsia="Liberation Sans"/>
          <w:color w:val="000000"/>
        </w:rPr>
        <w:t>Для всіх працівників банку обов’язково використовується багатофакторна автентифікація. Особливо це стосується доступу до внутрішніх систем, адміністративних панелей, VPN, хмарних сервісів, SIEM, backup-систем і фінансових застосунків.</w:t>
      </w:r>
    </w:p>
    <w:p>
      <w:pPr>
        <w:pStyle w:val="ListBullet"/>
        <w:numPr>
          <w:ilvl w:val="0"/>
          <w:numId w:val="1"/>
        </w:numPr>
        <w:rPr>
          <w:color w:val="000000"/>
        </w:rPr>
      </w:pPr>
      <w:r>
        <w:rPr>
          <w:rFonts w:eastAsia="Liberation Sans"/>
          <w:color w:val="000000"/>
        </w:rPr>
        <w:t>мінімальна довжина пароля — не менше 12 символів;</w:t>
      </w:r>
    </w:p>
    <w:p>
      <w:pPr>
        <w:pStyle w:val="ListBullet"/>
        <w:numPr>
          <w:ilvl w:val="0"/>
          <w:numId w:val="1"/>
        </w:numPr>
        <w:rPr>
          <w:color w:val="000000"/>
        </w:rPr>
      </w:pPr>
      <w:r>
        <w:rPr>
          <w:rFonts w:eastAsia="Liberation Sans"/>
          <w:color w:val="000000"/>
        </w:rPr>
        <w:t>заборона повторного використання старих паролів;</w:t>
      </w:r>
    </w:p>
    <w:p>
      <w:pPr>
        <w:pStyle w:val="ListBullet"/>
        <w:numPr>
          <w:ilvl w:val="0"/>
          <w:numId w:val="1"/>
        </w:numPr>
        <w:rPr>
          <w:color w:val="000000"/>
        </w:rPr>
      </w:pPr>
      <w:r>
        <w:rPr>
          <w:rFonts w:eastAsia="Liberation Sans"/>
          <w:color w:val="000000"/>
        </w:rPr>
        <w:t>заборона використання простих або скомпрометованих паролів;</w:t>
      </w:r>
    </w:p>
    <w:p>
      <w:pPr>
        <w:pStyle w:val="ListBullet"/>
        <w:numPr>
          <w:ilvl w:val="0"/>
          <w:numId w:val="1"/>
        </w:numPr>
        <w:rPr>
          <w:color w:val="000000"/>
        </w:rPr>
      </w:pPr>
      <w:r>
        <w:rPr>
          <w:rFonts w:eastAsia="Liberation Sans"/>
          <w:color w:val="000000"/>
        </w:rPr>
        <w:t>використання менеджера паролів для службових акаунтів;</w:t>
      </w:r>
    </w:p>
    <w:p>
      <w:pPr>
        <w:pStyle w:val="ListBullet"/>
        <w:numPr>
          <w:ilvl w:val="0"/>
          <w:numId w:val="1"/>
        </w:numPr>
        <w:rPr>
          <w:color w:val="000000"/>
        </w:rPr>
      </w:pPr>
      <w:r>
        <w:rPr>
          <w:rFonts w:eastAsia="Liberation Sans"/>
          <w:color w:val="000000"/>
        </w:rPr>
        <w:t>окремі адміністративні облікові записи для privileged access;</w:t>
      </w:r>
    </w:p>
    <w:p>
      <w:pPr>
        <w:pStyle w:val="ListBullet"/>
        <w:numPr>
          <w:ilvl w:val="0"/>
          <w:numId w:val="1"/>
        </w:numPr>
        <w:rPr>
          <w:color w:val="000000"/>
        </w:rPr>
      </w:pPr>
      <w:r>
        <w:rPr>
          <w:rFonts w:eastAsia="Liberation Sans"/>
          <w:color w:val="000000"/>
        </w:rPr>
        <w:t>негайне блокування акаунтів звільнених працівників;</w:t>
      </w:r>
    </w:p>
    <w:p>
      <w:pPr>
        <w:pStyle w:val="ListBullet"/>
        <w:numPr>
          <w:ilvl w:val="0"/>
          <w:numId w:val="1"/>
        </w:numPr>
        <w:rPr>
          <w:color w:val="000000"/>
        </w:rPr>
      </w:pPr>
      <w:r>
        <w:rPr>
          <w:rFonts w:eastAsia="Liberation Sans"/>
          <w:color w:val="000000"/>
        </w:rPr>
        <w:t>перегляд доступів не рідше одного разу на квартал.</w:t>
      </w:r>
    </w:p>
    <w:p>
      <w:pPr>
        <w:pStyle w:val="Normal"/>
        <w:jc w:val="both"/>
        <w:rPr>
          <w:color w:val="000000"/>
        </w:rPr>
      </w:pPr>
      <w:r>
        <w:rPr>
          <w:rFonts w:eastAsia="Liberation Sans"/>
          <w:color w:val="000000"/>
        </w:rPr>
        <w:t>Для адміністраторів має використовуватися окремий privileged account. Адміністративний доступ повинен бути тимчасовим, журналюватися та надаватися тільки за потреби.</w:t>
      </w:r>
    </w:p>
    <w:p>
      <w:pPr>
        <w:pStyle w:val="Heading1"/>
        <w:keepNext w:val="true"/>
        <w:spacing w:before="0" w:after="0"/>
        <w:rPr>
          <w:color w:val="000000"/>
        </w:rPr>
      </w:pPr>
      <w:r>
        <w:rPr>
          <w:rFonts w:eastAsia="Liberation Sans" w:ascii="Liberation Sans" w:hAnsi="Liberation Sans"/>
          <w:color w:val="000000"/>
        </w:rPr>
        <w:t>5. Політика обміну даними</w:t>
      </w:r>
    </w:p>
    <w:p>
      <w:pPr>
        <w:pStyle w:val="Heading2"/>
        <w:keepNext w:val="true"/>
        <w:spacing w:before="0" w:after="0"/>
        <w:rPr>
          <w:color w:val="000000"/>
        </w:rPr>
      </w:pPr>
      <w:r>
        <w:rPr>
          <w:rFonts w:eastAsia="Liberation Sans" w:ascii="Liberation Sans" w:hAnsi="Liberation Sans"/>
          <w:color w:val="000000"/>
        </w:rPr>
        <w:t>5.1. Внутрішній обмін даними</w:t>
      </w:r>
    </w:p>
    <w:p>
      <w:pPr>
        <w:pStyle w:val="Normal"/>
        <w:jc w:val="both"/>
        <w:rPr>
          <w:color w:val="000000"/>
        </w:rPr>
      </w:pPr>
      <w:r>
        <w:rPr>
          <w:rFonts w:eastAsia="Liberation Sans"/>
          <w:color w:val="000000"/>
        </w:rPr>
        <w:t>Обмін даними всередині організації дозволяється тільки через затверджені корпоративні канали: корпоративну пошту, захищені файлові сховища, внутрішні системи документообігу або контрольовані хмарні середовища.</w:t>
      </w:r>
    </w:p>
    <w:p>
      <w:pPr>
        <w:pStyle w:val="Normal"/>
        <w:jc w:val="both"/>
        <w:rPr>
          <w:color w:val="000000"/>
        </w:rPr>
      </w:pPr>
      <w:r>
        <w:rPr>
          <w:rFonts w:eastAsia="Liberation Sans"/>
          <w:color w:val="000000"/>
        </w:rPr>
        <w:t>Заборонено передавати клієнтські, фінансові, платіжні або security-дані через особисту пошту, особисті месенджери, незахищені USB-носії або відкриті файлові сервіси.</w:t>
      </w:r>
    </w:p>
    <w:p>
      <w:pPr>
        <w:pStyle w:val="ListBullet"/>
        <w:numPr>
          <w:ilvl w:val="0"/>
          <w:numId w:val="1"/>
        </w:numPr>
        <w:rPr>
          <w:color w:val="000000"/>
        </w:rPr>
      </w:pPr>
      <w:r>
        <w:rPr>
          <w:rFonts w:eastAsia="Liberation Sans"/>
          <w:color w:val="000000"/>
        </w:rPr>
        <w:t>шифрування файлів під час передачі;</w:t>
      </w:r>
    </w:p>
    <w:p>
      <w:pPr>
        <w:pStyle w:val="ListBullet"/>
        <w:numPr>
          <w:ilvl w:val="0"/>
          <w:numId w:val="1"/>
        </w:numPr>
        <w:rPr>
          <w:color w:val="000000"/>
        </w:rPr>
      </w:pPr>
      <w:r>
        <w:rPr>
          <w:rFonts w:eastAsia="Liberation Sans"/>
          <w:color w:val="000000"/>
        </w:rPr>
        <w:t>контроль доступу до папок і документів;</w:t>
      </w:r>
    </w:p>
    <w:p>
      <w:pPr>
        <w:pStyle w:val="ListBullet"/>
        <w:numPr>
          <w:ilvl w:val="0"/>
          <w:numId w:val="1"/>
        </w:numPr>
        <w:rPr>
          <w:color w:val="000000"/>
        </w:rPr>
      </w:pPr>
      <w:r>
        <w:rPr>
          <w:rFonts w:eastAsia="Liberation Sans"/>
          <w:color w:val="000000"/>
        </w:rPr>
        <w:t>обмеження права завантаження або копіювання;</w:t>
      </w:r>
    </w:p>
    <w:p>
      <w:pPr>
        <w:pStyle w:val="ListBullet"/>
        <w:numPr>
          <w:ilvl w:val="0"/>
          <w:numId w:val="1"/>
        </w:numPr>
        <w:rPr>
          <w:color w:val="000000"/>
        </w:rPr>
      </w:pPr>
      <w:r>
        <w:rPr>
          <w:rFonts w:eastAsia="Liberation Sans"/>
          <w:color w:val="000000"/>
        </w:rPr>
        <w:t>використання DLP для запобігання несанкціонованому витоку;</w:t>
      </w:r>
    </w:p>
    <w:p>
      <w:pPr>
        <w:pStyle w:val="ListBullet"/>
        <w:numPr>
          <w:ilvl w:val="0"/>
          <w:numId w:val="1"/>
        </w:numPr>
        <w:rPr>
          <w:color w:val="000000"/>
        </w:rPr>
      </w:pPr>
      <w:r>
        <w:rPr>
          <w:rFonts w:eastAsia="Liberation Sans"/>
          <w:color w:val="000000"/>
        </w:rPr>
        <w:t>журналювання доступу до важливих файлів;</w:t>
      </w:r>
    </w:p>
    <w:p>
      <w:pPr>
        <w:pStyle w:val="ListBullet"/>
        <w:numPr>
          <w:ilvl w:val="0"/>
          <w:numId w:val="1"/>
        </w:numPr>
        <w:rPr>
          <w:color w:val="000000"/>
        </w:rPr>
      </w:pPr>
      <w:r>
        <w:rPr>
          <w:rFonts w:eastAsia="Liberation Sans"/>
          <w:color w:val="000000"/>
        </w:rPr>
        <w:t>передача лише мінімально необхідного обсягу даних.</w:t>
      </w:r>
    </w:p>
    <w:p>
      <w:pPr>
        <w:pStyle w:val="Heading2"/>
        <w:keepNext w:val="true"/>
        <w:spacing w:before="0" w:after="0"/>
        <w:rPr>
          <w:color w:val="000000"/>
        </w:rPr>
      </w:pPr>
      <w:r>
        <w:rPr>
          <w:rFonts w:eastAsia="Liberation Sans" w:ascii="Liberation Sans" w:hAnsi="Liberation Sans"/>
          <w:color w:val="000000"/>
        </w:rPr>
        <w:t>5.2. Зовнішній обмін даними</w:t>
      </w:r>
    </w:p>
    <w:p>
      <w:pPr>
        <w:pStyle w:val="Normal"/>
        <w:jc w:val="both"/>
        <w:rPr>
          <w:color w:val="000000"/>
        </w:rPr>
      </w:pPr>
      <w:r>
        <w:rPr>
          <w:rFonts w:eastAsia="Liberation Sans"/>
          <w:color w:val="000000"/>
        </w:rPr>
        <w:t>Передача конфіденційних даних зовнішнім сторонам допускається тільки за наявності законної або договірної підстави. Передача повинна бути погоджена власником даних, Compliance-відділом і, за потреби, юридичним відділом.</w:t>
      </w:r>
    </w:p>
    <w:p>
      <w:pPr>
        <w:pStyle w:val="ListBullet"/>
        <w:numPr>
          <w:ilvl w:val="0"/>
          <w:numId w:val="1"/>
        </w:numPr>
        <w:rPr>
          <w:color w:val="000000"/>
        </w:rPr>
      </w:pPr>
      <w:r>
        <w:rPr>
          <w:rFonts w:eastAsia="Liberation Sans"/>
          <w:color w:val="000000"/>
        </w:rPr>
        <w:t>наявність договору або NDA;</w:t>
      </w:r>
    </w:p>
    <w:p>
      <w:pPr>
        <w:pStyle w:val="ListBullet"/>
        <w:numPr>
          <w:ilvl w:val="0"/>
          <w:numId w:val="1"/>
        </w:numPr>
        <w:rPr>
          <w:color w:val="000000"/>
        </w:rPr>
      </w:pPr>
      <w:r>
        <w:rPr>
          <w:rFonts w:eastAsia="Liberation Sans"/>
          <w:color w:val="000000"/>
        </w:rPr>
        <w:t>визначення мети передачі;</w:t>
      </w:r>
    </w:p>
    <w:p>
      <w:pPr>
        <w:pStyle w:val="ListBullet"/>
        <w:numPr>
          <w:ilvl w:val="0"/>
          <w:numId w:val="1"/>
        </w:numPr>
        <w:rPr>
          <w:color w:val="000000"/>
        </w:rPr>
      </w:pPr>
      <w:r>
        <w:rPr>
          <w:rFonts w:eastAsia="Liberation Sans"/>
          <w:color w:val="000000"/>
        </w:rPr>
        <w:t>мінімізація обсягу переданих даних;</w:t>
      </w:r>
    </w:p>
    <w:p>
      <w:pPr>
        <w:pStyle w:val="ListBullet"/>
        <w:numPr>
          <w:ilvl w:val="0"/>
          <w:numId w:val="1"/>
        </w:numPr>
        <w:rPr>
          <w:color w:val="000000"/>
        </w:rPr>
      </w:pPr>
      <w:r>
        <w:rPr>
          <w:rFonts w:eastAsia="Liberation Sans"/>
          <w:color w:val="000000"/>
        </w:rPr>
        <w:t>використання шифрування;</w:t>
      </w:r>
    </w:p>
    <w:p>
      <w:pPr>
        <w:pStyle w:val="ListBullet"/>
        <w:numPr>
          <w:ilvl w:val="0"/>
          <w:numId w:val="1"/>
        </w:numPr>
        <w:rPr>
          <w:color w:val="000000"/>
        </w:rPr>
      </w:pPr>
      <w:r>
        <w:rPr>
          <w:rFonts w:eastAsia="Liberation Sans"/>
          <w:color w:val="000000"/>
        </w:rPr>
        <w:t>перевірка отримувача;</w:t>
      </w:r>
    </w:p>
    <w:p>
      <w:pPr>
        <w:pStyle w:val="ListBullet"/>
        <w:numPr>
          <w:ilvl w:val="0"/>
          <w:numId w:val="1"/>
        </w:numPr>
        <w:rPr>
          <w:color w:val="000000"/>
        </w:rPr>
      </w:pPr>
      <w:r>
        <w:rPr>
          <w:rFonts w:eastAsia="Liberation Sans"/>
          <w:color w:val="000000"/>
        </w:rPr>
        <w:t>журналювання факту передачі;</w:t>
      </w:r>
    </w:p>
    <w:p>
      <w:pPr>
        <w:pStyle w:val="ListBullet"/>
        <w:numPr>
          <w:ilvl w:val="0"/>
          <w:numId w:val="1"/>
        </w:numPr>
        <w:rPr>
          <w:color w:val="000000"/>
        </w:rPr>
      </w:pPr>
      <w:r>
        <w:rPr>
          <w:rFonts w:eastAsia="Liberation Sans"/>
          <w:color w:val="000000"/>
        </w:rPr>
        <w:t>заборона подальшого передавання даних без дозволу банку.</w:t>
      </w:r>
    </w:p>
    <w:p>
      <w:pPr>
        <w:pStyle w:val="Normal"/>
        <w:jc w:val="both"/>
        <w:rPr>
          <w:color w:val="000000"/>
        </w:rPr>
      </w:pPr>
      <w:r>
        <w:rPr>
          <w:rFonts w:eastAsia="Liberation Sans"/>
          <w:color w:val="000000"/>
        </w:rPr>
        <w:t>Платіжні, клієнтські та персональні дані повинні передаватися лише через захищені канали, наприклад VPN, TLS-з’єднання, захищені API або контрольовані платформи обміну.</w:t>
      </w:r>
    </w:p>
    <w:p>
      <w:pPr>
        <w:pStyle w:val="Heading1"/>
        <w:keepNext w:val="true"/>
        <w:spacing w:before="0" w:after="0"/>
        <w:rPr>
          <w:color w:val="000000"/>
        </w:rPr>
      </w:pPr>
      <w:r>
        <w:rPr>
          <w:rFonts w:eastAsia="Liberation Sans" w:ascii="Liberation Sans" w:hAnsi="Liberation Sans"/>
          <w:color w:val="000000"/>
        </w:rPr>
        <w:t>6. Політика зберігання даних</w:t>
      </w:r>
    </w:p>
    <w:p>
      <w:pPr>
        <w:pStyle w:val="Heading2"/>
        <w:keepNext w:val="true"/>
        <w:spacing w:before="0" w:after="0"/>
        <w:rPr>
          <w:color w:val="000000"/>
        </w:rPr>
      </w:pPr>
      <w:r>
        <w:rPr>
          <w:rFonts w:eastAsia="Liberation Sans" w:ascii="Liberation Sans" w:hAnsi="Liberation Sans"/>
          <w:color w:val="000000"/>
        </w:rPr>
        <w:t>6.1. Загальні вимоги до зберігання</w:t>
      </w:r>
    </w:p>
    <w:p>
      <w:pPr>
        <w:pStyle w:val="Normal"/>
        <w:jc w:val="both"/>
        <w:rPr>
          <w:color w:val="000000"/>
        </w:rPr>
      </w:pPr>
      <w:r>
        <w:rPr>
          <w:rFonts w:eastAsia="Liberation Sans"/>
          <w:color w:val="000000"/>
        </w:rPr>
        <w:t>Дані банку повинні зберігатися у затверджених середовищах: на серверах організації, у захищених базах даних, у контрольованих хмарних сервісах або в резервних сховищах. Місце зберігання залежить від категорії та рівня чутливості даних.</w:t>
      </w:r>
    </w:p>
    <w:p>
      <w:pPr>
        <w:pStyle w:val="Normal"/>
        <w:jc w:val="both"/>
        <w:rPr>
          <w:color w:val="000000"/>
        </w:rPr>
      </w:pPr>
      <w:r>
        <w:rPr>
          <w:rFonts w:eastAsia="Liberation Sans"/>
          <w:color w:val="000000"/>
        </w:rPr>
        <w:t>Заборонено зберігати конфіденційні дані на особистих пристроях працівників, незашифрованих USB-носіях, особистих хмарних акаунтах або локальних комп’ютерах без погодження IT/Security-відділу.</w:t>
      </w:r>
    </w:p>
    <w:p>
      <w:pPr>
        <w:pStyle w:val="Heading2"/>
        <w:keepNext w:val="true"/>
        <w:rPr>
          <w:color w:val="000000"/>
        </w:rPr>
      </w:pPr>
      <w:r>
        <w:rPr>
          <w:rFonts w:eastAsia="Liberation Sans" w:ascii="Liberation Sans" w:hAnsi="Liberation Sans"/>
          <w:color w:val="000000"/>
        </w:rPr>
        <w:t>6.2. Зберігання за категоріями даних</w:t>
      </w:r>
    </w:p>
    <w:tbl>
      <w:tblPr>
        <w:tblStyle w:val="TableGrid"/>
        <w:tblW w:w="9867" w:type="dxa"/>
        <w:jc w:val="center"/>
        <w:tblInd w:w="0" w:type="dxa"/>
        <w:tblLayout w:type="fixed"/>
        <w:tblCellMar>
          <w:top w:w="110" w:type="dxa"/>
          <w:left w:w="100" w:type="dxa"/>
          <w:bottom w:w="110" w:type="dxa"/>
          <w:right w:w="100" w:type="dxa"/>
        </w:tblCellMar>
        <w:tblLook w:firstRow="1" w:noVBand="1" w:lastRow="0" w:firstColumn="1" w:lastColumn="0" w:noHBand="0" w:val="04a0"/>
      </w:tblPr>
      <w:tblGrid>
        <w:gridCol w:w="3289"/>
        <w:gridCol w:w="3289"/>
        <w:gridCol w:w="3289"/>
      </w:tblGrid>
      <w:tr>
        <w:trPr>
          <w:tblHeader w:val="true"/>
        </w:trPr>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Категорія даних</w:t>
            </w:r>
          </w:p>
        </w:tc>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Місце зберігання</w:t>
            </w:r>
          </w:p>
        </w:tc>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Основні вимоги</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Клієнтські дані</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Захищена CRM / база даних банку</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Шифрування, MFA, RBAC, журналювання доступу</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Фінансові дані</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Core banking system, бухгалтерська система</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Шифрування, контроль цілісності, backup, аудит</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Платіжні дані</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Платіжна інфраструктура / процесинг</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Посилений контроль доступу, сегментація, моніторинг</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Дані працівників</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HR-система</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Обмежений доступ HR і керівництва</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Технічні логи</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SIEM / централізоване сховище логів</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Захист від зміни, контроль retention, моніторинг</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Резервні копії</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Backup-сховище, бажано immutable backup</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Шифрування, тестування відновлення, обмежений доступ</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Публічні дані</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Вебсайт, публічні ресурси</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Перевірка перед публікацією, контроль змін</w:t>
            </w:r>
          </w:p>
        </w:tc>
      </w:tr>
    </w:tbl>
    <w:p>
      <w:pPr>
        <w:pStyle w:val="Normal"/>
        <w:rPr>
          <w:color w:val="000000"/>
        </w:rPr>
      </w:pPr>
      <w:r>
        <w:rPr>
          <w:color w:val="000000"/>
        </w:rPr>
      </w:r>
    </w:p>
    <w:p>
      <w:pPr>
        <w:pStyle w:val="Heading2"/>
        <w:keepNext w:val="true"/>
        <w:spacing w:before="0" w:after="0"/>
        <w:rPr>
          <w:color w:val="000000"/>
        </w:rPr>
      </w:pPr>
      <w:r>
        <w:rPr>
          <w:rFonts w:eastAsia="Liberation Sans" w:ascii="Liberation Sans" w:hAnsi="Liberation Sans"/>
          <w:color w:val="000000"/>
        </w:rPr>
        <w:t>6.3. Резервне копіювання та доступність</w:t>
      </w:r>
    </w:p>
    <w:p>
      <w:pPr>
        <w:pStyle w:val="Normal"/>
        <w:jc w:val="both"/>
        <w:rPr>
          <w:color w:val="000000"/>
        </w:rPr>
      </w:pPr>
      <w:r>
        <w:rPr>
          <w:rFonts w:eastAsia="Liberation Sans"/>
          <w:color w:val="000000"/>
        </w:rPr>
        <w:t>Для критичних систем банку повинно виконуватися регулярне резервне копіювання. До критичних систем належать клієнтська база, фінансові системи, платіжна інфраструктура, SIEM, конфігурації серверів і важливі внутрішні документи.</w:t>
      </w:r>
    </w:p>
    <w:p>
      <w:pPr>
        <w:pStyle w:val="ListBullet"/>
        <w:numPr>
          <w:ilvl w:val="0"/>
          <w:numId w:val="1"/>
        </w:numPr>
        <w:rPr>
          <w:color w:val="000000"/>
        </w:rPr>
      </w:pPr>
      <w:r>
        <w:rPr>
          <w:rFonts w:eastAsia="Liberation Sans"/>
          <w:color w:val="000000"/>
        </w:rPr>
        <w:t>резервні копії створюються за затвердженим графіком;</w:t>
      </w:r>
    </w:p>
    <w:p>
      <w:pPr>
        <w:pStyle w:val="ListBullet"/>
        <w:numPr>
          <w:ilvl w:val="0"/>
          <w:numId w:val="1"/>
        </w:numPr>
        <w:rPr>
          <w:color w:val="000000"/>
        </w:rPr>
      </w:pPr>
      <w:r>
        <w:rPr>
          <w:rFonts w:eastAsia="Liberation Sans"/>
          <w:color w:val="000000"/>
        </w:rPr>
        <w:t>копії зберігаються окремо від основної інфраструктури;</w:t>
      </w:r>
    </w:p>
    <w:p>
      <w:pPr>
        <w:pStyle w:val="ListBullet"/>
        <w:numPr>
          <w:ilvl w:val="0"/>
          <w:numId w:val="1"/>
        </w:numPr>
        <w:rPr>
          <w:color w:val="000000"/>
        </w:rPr>
      </w:pPr>
      <w:r>
        <w:rPr>
          <w:rFonts w:eastAsia="Liberation Sans"/>
          <w:color w:val="000000"/>
        </w:rPr>
        <w:t>backup повинен бути зашифрованим;</w:t>
      </w:r>
    </w:p>
    <w:p>
      <w:pPr>
        <w:pStyle w:val="ListBullet"/>
        <w:numPr>
          <w:ilvl w:val="0"/>
          <w:numId w:val="1"/>
        </w:numPr>
        <w:rPr>
          <w:color w:val="000000"/>
        </w:rPr>
      </w:pPr>
      <w:r>
        <w:rPr>
          <w:rFonts w:eastAsia="Liberation Sans"/>
          <w:color w:val="000000"/>
        </w:rPr>
        <w:t>доступ до backup-сховищ має бути обмежений;</w:t>
      </w:r>
    </w:p>
    <w:p>
      <w:pPr>
        <w:pStyle w:val="ListBullet"/>
        <w:numPr>
          <w:ilvl w:val="0"/>
          <w:numId w:val="1"/>
        </w:numPr>
        <w:rPr>
          <w:color w:val="000000"/>
        </w:rPr>
      </w:pPr>
      <w:r>
        <w:rPr>
          <w:rFonts w:eastAsia="Liberation Sans"/>
          <w:color w:val="000000"/>
        </w:rPr>
        <w:t>відновлення даних регулярно тестується;</w:t>
      </w:r>
    </w:p>
    <w:p>
      <w:pPr>
        <w:pStyle w:val="ListBullet"/>
        <w:numPr>
          <w:ilvl w:val="0"/>
          <w:numId w:val="1"/>
        </w:numPr>
        <w:rPr>
          <w:color w:val="000000"/>
        </w:rPr>
      </w:pPr>
      <w:r>
        <w:rPr>
          <w:rFonts w:eastAsia="Liberation Sans"/>
          <w:color w:val="000000"/>
        </w:rPr>
        <w:t>критичні копії захищаються від ransomware за допомогою immutable backup або offline-копій.</w:t>
      </w:r>
    </w:p>
    <w:tbl>
      <w:tblPr>
        <w:tblStyle w:val="TableGrid"/>
        <w:tblW w:w="9867" w:type="dxa"/>
        <w:jc w:val="center"/>
        <w:tblInd w:w="0" w:type="dxa"/>
        <w:tblLayout w:type="fixed"/>
        <w:tblCellMar>
          <w:top w:w="110" w:type="dxa"/>
          <w:left w:w="100" w:type="dxa"/>
          <w:bottom w:w="110" w:type="dxa"/>
          <w:right w:w="100" w:type="dxa"/>
        </w:tblCellMar>
        <w:tblLook w:firstRow="1" w:noVBand="1" w:lastRow="0" w:firstColumn="1" w:lastColumn="0" w:noHBand="0" w:val="04a0"/>
      </w:tblPr>
      <w:tblGrid>
        <w:gridCol w:w="3289"/>
        <w:gridCol w:w="3289"/>
        <w:gridCol w:w="3289"/>
      </w:tblGrid>
      <w:tr>
        <w:trPr>
          <w:tblHeader w:val="true"/>
        </w:trPr>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7"/>
                <w:szCs w:val="22"/>
                <w:lang w:val="en-US" w:eastAsia="en-US" w:bidi="ar-SA"/>
              </w:rPr>
              <w:t>Показник</w:t>
            </w:r>
          </w:p>
        </w:tc>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7"/>
                <w:szCs w:val="22"/>
                <w:lang w:val="en-US" w:eastAsia="en-US" w:bidi="ar-SA"/>
              </w:rPr>
              <w:t>Рекомендоване значення</w:t>
            </w:r>
          </w:p>
        </w:tc>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7"/>
                <w:szCs w:val="22"/>
                <w:lang w:val="en-US" w:eastAsia="en-US" w:bidi="ar-SA"/>
              </w:rPr>
              <w:t>Пояснення</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RPO</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Не більше 4 годин для критичних фінансових і клієнтських даних</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Максимальний допустимий обсяг втрати даних у часі</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RTO</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Не більше 8 годин для ключових сервісів</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Максимальний допустимий час відновлення сервісу</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Менш критичні дані</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RPO/RTO можуть бути довшими</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Визначаються залежно від бізнес-потреб</w:t>
            </w:r>
          </w:p>
        </w:tc>
      </w:tr>
    </w:tbl>
    <w:p>
      <w:pPr>
        <w:pStyle w:val="Normal"/>
        <w:rPr>
          <w:color w:val="000000"/>
        </w:rPr>
      </w:pPr>
      <w:r>
        <w:rPr>
          <w:color w:val="000000"/>
        </w:rPr>
      </w:r>
    </w:p>
    <w:p>
      <w:pPr>
        <w:pStyle w:val="Heading1"/>
        <w:keepNext w:val="true"/>
        <w:spacing w:before="0" w:after="0"/>
        <w:rPr>
          <w:color w:val="000000"/>
        </w:rPr>
      </w:pPr>
      <w:r>
        <w:rPr>
          <w:rFonts w:eastAsia="Liberation Sans" w:ascii="Liberation Sans" w:hAnsi="Liberation Sans"/>
          <w:color w:val="000000"/>
        </w:rPr>
        <w:t>7. Політика знищення даних</w:t>
      </w:r>
    </w:p>
    <w:p>
      <w:pPr>
        <w:pStyle w:val="Heading2"/>
        <w:keepNext w:val="true"/>
        <w:spacing w:before="0" w:after="0"/>
        <w:rPr>
          <w:color w:val="000000"/>
        </w:rPr>
      </w:pPr>
      <w:r>
        <w:rPr>
          <w:rFonts w:eastAsia="Liberation Sans" w:ascii="Liberation Sans" w:hAnsi="Liberation Sans"/>
          <w:color w:val="000000"/>
        </w:rPr>
        <w:t>7.1. Загальні принципи знищення</w:t>
      </w:r>
    </w:p>
    <w:p>
      <w:pPr>
        <w:pStyle w:val="Normal"/>
        <w:jc w:val="both"/>
        <w:rPr>
          <w:color w:val="000000"/>
        </w:rPr>
      </w:pPr>
      <w:r>
        <w:rPr>
          <w:rFonts w:eastAsia="Liberation Sans"/>
          <w:color w:val="000000"/>
        </w:rPr>
        <w:t>Дані повинні знищуватися лише після завершення строку їх законного, договірного або операційного зберігання. Перед знищенням власник даних повинен підтвердити, що дані більше не потрібні для бізнес-процесів, аудиту, юридичних вимог або розслідувань інцидентів.</w:t>
      </w:r>
    </w:p>
    <w:p>
      <w:pPr>
        <w:pStyle w:val="Normal"/>
        <w:jc w:val="both"/>
        <w:rPr>
          <w:color w:val="000000"/>
        </w:rPr>
      </w:pPr>
      <w:r>
        <w:rPr>
          <w:rFonts w:eastAsia="Liberation Sans"/>
          <w:color w:val="000000"/>
        </w:rPr>
        <w:t>Знищення даних повинно бути контрольованим, задокументованим і перевіреним. Для критичних і конфіденційних даних необхідно зберігати запис про знищення: які дані були знищені, хто погодив знищення, хто виконав процедуру, коли це було зроблено і яким методом.</w:t>
      </w:r>
    </w:p>
    <w:p>
      <w:pPr>
        <w:pStyle w:val="Heading2"/>
        <w:keepNext w:val="true"/>
        <w:rPr>
          <w:color w:val="000000"/>
        </w:rPr>
      </w:pPr>
      <w:r>
        <w:rPr>
          <w:rFonts w:eastAsia="Liberation Sans" w:ascii="Liberation Sans" w:hAnsi="Liberation Sans"/>
          <w:color w:val="000000"/>
        </w:rPr>
        <w:t>7.2. Методи знищення</w:t>
      </w:r>
    </w:p>
    <w:tbl>
      <w:tblPr>
        <w:tblStyle w:val="TableGrid"/>
        <w:tblW w:w="9866" w:type="dxa"/>
        <w:jc w:val="center"/>
        <w:tblInd w:w="0" w:type="dxa"/>
        <w:tblLayout w:type="fixed"/>
        <w:tblCellMar>
          <w:top w:w="110" w:type="dxa"/>
          <w:left w:w="100" w:type="dxa"/>
          <w:bottom w:w="110" w:type="dxa"/>
          <w:right w:w="100" w:type="dxa"/>
        </w:tblCellMar>
        <w:tblLook w:firstRow="1" w:noVBand="1" w:lastRow="0" w:firstColumn="1" w:lastColumn="0" w:noHBand="0" w:val="04a0"/>
      </w:tblPr>
      <w:tblGrid>
        <w:gridCol w:w="4933"/>
        <w:gridCol w:w="4932"/>
      </w:tblGrid>
      <w:tr>
        <w:trPr>
          <w:tblHeader w:val="true"/>
        </w:trPr>
        <w:tc>
          <w:tcPr>
            <w:tcW w:w="4933"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7"/>
                <w:szCs w:val="22"/>
                <w:lang w:val="en-US" w:eastAsia="en-US" w:bidi="ar-SA"/>
              </w:rPr>
              <w:t>Тип носія / даних</w:t>
            </w:r>
          </w:p>
        </w:tc>
        <w:tc>
          <w:tcPr>
            <w:tcW w:w="4932"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7"/>
                <w:szCs w:val="22"/>
                <w:lang w:val="en-US" w:eastAsia="en-US" w:bidi="ar-SA"/>
              </w:rPr>
              <w:t>Метод знищення</w:t>
            </w:r>
          </w:p>
        </w:tc>
      </w:tr>
      <w:tr>
        <w:trPr/>
        <w:tc>
          <w:tcPr>
            <w:tcW w:w="4933"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Паперові документи</w:t>
            </w:r>
          </w:p>
        </w:tc>
        <w:tc>
          <w:tcPr>
            <w:tcW w:w="4932"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Подрібнення у шредері або передача сертифікованому постачальнику з актом знищення</w:t>
            </w:r>
          </w:p>
        </w:tc>
      </w:tr>
      <w:tr>
        <w:trPr/>
        <w:tc>
          <w:tcPr>
            <w:tcW w:w="4933"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HDD-диски</w:t>
            </w:r>
          </w:p>
        </w:tc>
        <w:tc>
          <w:tcPr>
            <w:tcW w:w="4932"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Перезапис, криптографічне стирання або фізичне знищення</w:t>
            </w:r>
          </w:p>
        </w:tc>
      </w:tr>
      <w:tr>
        <w:trPr/>
        <w:tc>
          <w:tcPr>
            <w:tcW w:w="4933"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SSD-диски</w:t>
            </w:r>
          </w:p>
        </w:tc>
        <w:tc>
          <w:tcPr>
            <w:tcW w:w="4932"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Secure erase, cryptographic erase або фізичне знищення</w:t>
            </w:r>
          </w:p>
        </w:tc>
      </w:tr>
      <w:tr>
        <w:trPr/>
        <w:tc>
          <w:tcPr>
            <w:tcW w:w="4933"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USB-носії</w:t>
            </w:r>
          </w:p>
        </w:tc>
        <w:tc>
          <w:tcPr>
            <w:tcW w:w="4932"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Повне стирання або фізичне знищення</w:t>
            </w:r>
          </w:p>
        </w:tc>
      </w:tr>
      <w:tr>
        <w:trPr/>
        <w:tc>
          <w:tcPr>
            <w:tcW w:w="4933"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Хмарні дані</w:t>
            </w:r>
          </w:p>
        </w:tc>
        <w:tc>
          <w:tcPr>
            <w:tcW w:w="4932"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Видалення через затверджені процедури провайдера, перевірка retention і backup-копій</w:t>
            </w:r>
          </w:p>
        </w:tc>
      </w:tr>
      <w:tr>
        <w:trPr/>
        <w:tc>
          <w:tcPr>
            <w:tcW w:w="4933"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Резервні копії</w:t>
            </w:r>
          </w:p>
        </w:tc>
        <w:tc>
          <w:tcPr>
            <w:tcW w:w="4932"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Видалення після завершення строку зберігання згідно з backup retention policy</w:t>
            </w:r>
          </w:p>
        </w:tc>
      </w:tr>
      <w:tr>
        <w:trPr/>
        <w:tc>
          <w:tcPr>
            <w:tcW w:w="4933"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Облікові записи</w:t>
            </w:r>
          </w:p>
        </w:tc>
        <w:tc>
          <w:tcPr>
            <w:tcW w:w="4932"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7"/>
                <w:szCs w:val="22"/>
                <w:lang w:val="en-US" w:eastAsia="en-US" w:bidi="ar-SA"/>
              </w:rPr>
              <w:t>Деактивація, видалення доступів, архівація журналів активності</w:t>
            </w:r>
          </w:p>
        </w:tc>
      </w:tr>
    </w:tbl>
    <w:p>
      <w:pPr>
        <w:pStyle w:val="Normal"/>
        <w:rPr>
          <w:color w:val="000000"/>
        </w:rPr>
      </w:pPr>
      <w:r>
        <w:rPr>
          <w:color w:val="000000"/>
        </w:rPr>
      </w:r>
    </w:p>
    <w:tbl>
      <w:tblPr>
        <w:tblW w:w="9866" w:type="dxa"/>
        <w:jc w:val="center"/>
        <w:tblInd w:w="0" w:type="dxa"/>
        <w:tblLayout w:type="fixed"/>
        <w:tblCellMar>
          <w:top w:w="160" w:type="dxa"/>
          <w:left w:w="180" w:type="dxa"/>
          <w:bottom w:w="160" w:type="dxa"/>
          <w:right w:w="180" w:type="dxa"/>
        </w:tblCellMar>
        <w:tblLook w:firstRow="1" w:noVBand="1" w:lastRow="0" w:firstColumn="1" w:lastColumn="0" w:noHBand="0" w:val="04a0"/>
      </w:tblPr>
      <w:tblGrid>
        <w:gridCol w:w="9866"/>
      </w:tblGrid>
      <w:tr>
        <w:trPr>
          <w:cantSplit w:val="true"/>
        </w:trPr>
        <w:tc>
          <w:tcPr>
            <w:tcW w:w="9866" w:type="dxa"/>
            <w:tcBorders/>
            <w:shd w:fill="FCE4D6"/>
          </w:tcPr>
          <w:p>
            <w:pPr>
              <w:pStyle w:val="Normal"/>
              <w:widowControl w:val="false"/>
              <w:spacing w:before="0" w:after="80"/>
              <w:rPr>
                <w:color w:val="000000"/>
              </w:rPr>
            </w:pPr>
            <w:r>
              <w:rPr>
                <w:b/>
                <w:color w:val="000000"/>
              </w:rPr>
              <w:t>Важливо</w:t>
            </w:r>
          </w:p>
          <w:p>
            <w:pPr>
              <w:pStyle w:val="Normal"/>
              <w:widowControl w:val="false"/>
              <w:spacing w:before="0" w:after="0"/>
              <w:jc w:val="both"/>
              <w:rPr>
                <w:color w:val="000000"/>
              </w:rPr>
            </w:pPr>
            <w:r>
              <w:rPr>
                <w:color w:val="000000"/>
              </w:rPr>
              <w:t>Просте видалення файлів не вважається достатнім методом знищення для конфіденційних або критичних даних. Для таких даних потрібно застосовувати безпечне стирання, криптографічне стирання або фізичне знищення носія.</w:t>
            </w:r>
          </w:p>
        </w:tc>
      </w:tr>
    </w:tbl>
    <w:p>
      <w:pPr>
        <w:pStyle w:val="Heading1"/>
        <w:keepNext w:val="true"/>
        <w:spacing w:before="0" w:after="0"/>
        <w:rPr>
          <w:color w:val="000000"/>
        </w:rPr>
      </w:pPr>
      <w:r>
        <w:rPr>
          <w:rFonts w:eastAsia="Liberation Sans" w:ascii="Liberation Sans" w:hAnsi="Liberation Sans"/>
          <w:color w:val="000000"/>
        </w:rPr>
        <w:t>8. Ідентифікація власників даних</w:t>
      </w:r>
    </w:p>
    <w:p>
      <w:pPr>
        <w:pStyle w:val="Normal"/>
        <w:jc w:val="both"/>
        <w:rPr>
          <w:color w:val="000000"/>
        </w:rPr>
      </w:pPr>
      <w:r>
        <w:rPr>
          <w:rFonts w:eastAsia="Liberation Sans"/>
          <w:color w:val="000000"/>
        </w:rPr>
        <w:t>Власник даних — це відповідальна особа або підрозділ, який визначає правила використання певної категорії даних, погоджує доступ, контролює якість даних і відповідає за їх захист.</w:t>
      </w:r>
    </w:p>
    <w:tbl>
      <w:tblPr>
        <w:tblStyle w:val="TableGrid"/>
        <w:tblW w:w="9867" w:type="dxa"/>
        <w:jc w:val="center"/>
        <w:tblInd w:w="0" w:type="dxa"/>
        <w:tblLayout w:type="fixed"/>
        <w:tblCellMar>
          <w:top w:w="110" w:type="dxa"/>
          <w:left w:w="100" w:type="dxa"/>
          <w:bottom w:w="110" w:type="dxa"/>
          <w:right w:w="100" w:type="dxa"/>
        </w:tblCellMar>
        <w:tblLook w:firstRow="1" w:noVBand="1" w:lastRow="0" w:firstColumn="1" w:lastColumn="0" w:noHBand="0" w:val="04a0"/>
      </w:tblPr>
      <w:tblGrid>
        <w:gridCol w:w="3289"/>
        <w:gridCol w:w="3289"/>
        <w:gridCol w:w="3289"/>
      </w:tblGrid>
      <w:tr>
        <w:trPr>
          <w:tblHeader w:val="true"/>
        </w:trPr>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Категорія даних</w:t>
            </w:r>
          </w:p>
        </w:tc>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Власник даних</w:t>
            </w:r>
          </w:p>
        </w:tc>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Основні обов’язки</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Клієнтські дані</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Керівник клієнтського напряму / Data Protection Officer</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Контроль доступу до клієнтських даних, захист персональної інформації, погодження передачі третім сторонам</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Фінансові дані</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CFO / фінансовий директор</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Забезпечення точності фінансових записів, контроль доступу фінансового відділу, відповідність вимогам аудиту</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Платіжні дані</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Керівник платіжних операцій</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Захист платіжних операцій, контроль процесингових систем, мінімізація доступу</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Дані працівників</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HR-директор</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Конфіденційність HR-даних, контроль доступу до особових справ, дотримання строків зберігання</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Технічні дані та логи</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IT-директор / CISO</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Захист серверів, логів, SIEM, backup, контроль адміністраторів</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Security-інциденти</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CISO / SOC Lead</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Моніторинг інцидентів, реагування, збереження доказів, підготовка звітів</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Публічні дані</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Marketing / PR-відділ</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Перевірка інформації перед публікацією, запобігання розміщенню конфіденційних даних</w:t>
            </w:r>
          </w:p>
        </w:tc>
      </w:tr>
    </w:tbl>
    <w:p>
      <w:pPr>
        <w:pStyle w:val="Normal"/>
        <w:rPr>
          <w:color w:val="000000"/>
        </w:rPr>
      </w:pPr>
      <w:r>
        <w:rPr>
          <w:color w:val="000000"/>
        </w:rPr>
      </w:r>
    </w:p>
    <w:p>
      <w:pPr>
        <w:pStyle w:val="Heading1"/>
        <w:keepNext w:val="true"/>
        <w:spacing w:before="0" w:after="0"/>
        <w:rPr>
          <w:color w:val="000000"/>
        </w:rPr>
      </w:pPr>
      <w:r>
        <w:rPr>
          <w:rFonts w:eastAsia="Liberation Sans" w:ascii="Liberation Sans" w:hAnsi="Liberation Sans"/>
          <w:color w:val="000000"/>
        </w:rPr>
        <w:t>9. Обов’язки власників даних щодо CIA</w:t>
      </w:r>
    </w:p>
    <w:p>
      <w:pPr>
        <w:pStyle w:val="Heading2"/>
        <w:keepNext w:val="true"/>
        <w:spacing w:before="0" w:after="0"/>
        <w:rPr>
          <w:color w:val="000000"/>
        </w:rPr>
      </w:pPr>
      <w:r>
        <w:rPr>
          <w:rFonts w:eastAsia="Liberation Sans" w:ascii="Liberation Sans" w:hAnsi="Liberation Sans"/>
          <w:color w:val="000000"/>
        </w:rPr>
        <w:t>9.1. Конфіденційність</w:t>
      </w:r>
    </w:p>
    <w:p>
      <w:pPr>
        <w:pStyle w:val="Normal"/>
        <w:jc w:val="both"/>
        <w:rPr>
          <w:color w:val="000000"/>
        </w:rPr>
      </w:pPr>
      <w:r>
        <w:rPr>
          <w:rFonts w:eastAsia="Liberation Sans"/>
          <w:color w:val="000000"/>
        </w:rPr>
        <w:t>Власники даних повинні забезпечити, щоб доступ до інформації мали лише авторизовані особи. Для цього вони погоджують права доступу, контролюють використання даних, ініціюють перегляд доступів і повідомляють Security-відділ про підозрілі дії.</w:t>
      </w:r>
    </w:p>
    <w:p>
      <w:pPr>
        <w:pStyle w:val="Normal"/>
        <w:jc w:val="both"/>
        <w:rPr>
          <w:color w:val="000000"/>
        </w:rPr>
      </w:pPr>
      <w:r>
        <w:rPr>
          <w:rFonts w:eastAsia="Liberation Sans"/>
          <w:color w:val="000000"/>
        </w:rPr>
        <w:t>Приклад: власник клієнтських даних повинен переконатися, що працівник клієнтського відділу бачить лише ті дані, які потрібні для обслуговування клієнта, але не має можливості масово експортувати всю клієнтську базу.</w:t>
      </w:r>
    </w:p>
    <w:p>
      <w:pPr>
        <w:pStyle w:val="Heading2"/>
        <w:keepNext w:val="true"/>
        <w:spacing w:before="0" w:after="0"/>
        <w:rPr>
          <w:color w:val="000000"/>
        </w:rPr>
      </w:pPr>
      <w:r>
        <w:rPr>
          <w:rFonts w:eastAsia="Liberation Sans" w:ascii="Liberation Sans" w:hAnsi="Liberation Sans"/>
          <w:color w:val="000000"/>
        </w:rPr>
        <w:t>9.2. Цілісність</w:t>
      </w:r>
    </w:p>
    <w:p>
      <w:pPr>
        <w:pStyle w:val="Normal"/>
        <w:jc w:val="both"/>
        <w:rPr>
          <w:color w:val="000000"/>
        </w:rPr>
      </w:pPr>
      <w:r>
        <w:rPr>
          <w:rFonts w:eastAsia="Liberation Sans"/>
          <w:color w:val="000000"/>
        </w:rPr>
        <w:t>Власники даних відповідають за точність, актуальність і повноту даних. Вони повинні контролювати, щоб дані не були змінені без дозволу, випадково пошкоджені або підмінені.</w:t>
      </w:r>
    </w:p>
    <w:p>
      <w:pPr>
        <w:pStyle w:val="ListBullet"/>
        <w:numPr>
          <w:ilvl w:val="0"/>
          <w:numId w:val="1"/>
        </w:numPr>
        <w:rPr>
          <w:color w:val="000000"/>
        </w:rPr>
      </w:pPr>
      <w:r>
        <w:rPr>
          <w:rFonts w:eastAsia="Liberation Sans"/>
          <w:color w:val="000000"/>
        </w:rPr>
        <w:t>контроль змін;</w:t>
      </w:r>
    </w:p>
    <w:p>
      <w:pPr>
        <w:pStyle w:val="ListBullet"/>
        <w:numPr>
          <w:ilvl w:val="0"/>
          <w:numId w:val="1"/>
        </w:numPr>
        <w:rPr>
          <w:color w:val="000000"/>
        </w:rPr>
      </w:pPr>
      <w:r>
        <w:rPr>
          <w:rFonts w:eastAsia="Liberation Sans"/>
          <w:color w:val="000000"/>
        </w:rPr>
        <w:t>журналювання операцій;</w:t>
      </w:r>
    </w:p>
    <w:p>
      <w:pPr>
        <w:pStyle w:val="ListBullet"/>
        <w:numPr>
          <w:ilvl w:val="0"/>
          <w:numId w:val="1"/>
        </w:numPr>
        <w:rPr>
          <w:color w:val="000000"/>
        </w:rPr>
      </w:pPr>
      <w:r>
        <w:rPr>
          <w:rFonts w:eastAsia="Liberation Sans"/>
          <w:color w:val="000000"/>
        </w:rPr>
        <w:t>розмежування прав на читання і редагування;</w:t>
      </w:r>
    </w:p>
    <w:p>
      <w:pPr>
        <w:pStyle w:val="ListBullet"/>
        <w:numPr>
          <w:ilvl w:val="0"/>
          <w:numId w:val="1"/>
        </w:numPr>
        <w:rPr>
          <w:color w:val="000000"/>
        </w:rPr>
      </w:pPr>
      <w:r>
        <w:rPr>
          <w:rFonts w:eastAsia="Liberation Sans"/>
          <w:color w:val="000000"/>
        </w:rPr>
        <w:t>перевірка правильності даних;</w:t>
      </w:r>
    </w:p>
    <w:p>
      <w:pPr>
        <w:pStyle w:val="ListBullet"/>
        <w:numPr>
          <w:ilvl w:val="0"/>
          <w:numId w:val="1"/>
        </w:numPr>
        <w:rPr>
          <w:color w:val="000000"/>
        </w:rPr>
      </w:pPr>
      <w:r>
        <w:rPr>
          <w:rFonts w:eastAsia="Liberation Sans"/>
          <w:color w:val="000000"/>
        </w:rPr>
        <w:t>регулярний аудит;</w:t>
      </w:r>
    </w:p>
    <w:p>
      <w:pPr>
        <w:pStyle w:val="ListBullet"/>
        <w:numPr>
          <w:ilvl w:val="0"/>
          <w:numId w:val="1"/>
        </w:numPr>
        <w:rPr>
          <w:color w:val="000000"/>
        </w:rPr>
      </w:pPr>
      <w:r>
        <w:rPr>
          <w:rFonts w:eastAsia="Liberation Sans"/>
          <w:color w:val="000000"/>
        </w:rPr>
        <w:t>резервне копіювання.</w:t>
      </w:r>
    </w:p>
    <w:p>
      <w:pPr>
        <w:pStyle w:val="Normal"/>
        <w:jc w:val="both"/>
        <w:rPr>
          <w:color w:val="000000"/>
        </w:rPr>
      </w:pPr>
      <w:r>
        <w:rPr>
          <w:rFonts w:eastAsia="Liberation Sans"/>
          <w:color w:val="000000"/>
        </w:rPr>
        <w:t>Приклад: фінансовий директор відповідає за те, щоб фінансові звіти були точними, а зміни у фінансових записах могли виконувати лише уповноважені працівники.</w:t>
      </w:r>
    </w:p>
    <w:p>
      <w:pPr>
        <w:pStyle w:val="Heading2"/>
        <w:keepNext w:val="true"/>
        <w:spacing w:before="0" w:after="0"/>
        <w:rPr>
          <w:color w:val="000000"/>
        </w:rPr>
      </w:pPr>
      <w:r>
        <w:rPr>
          <w:rFonts w:eastAsia="Liberation Sans" w:ascii="Liberation Sans" w:hAnsi="Liberation Sans"/>
          <w:color w:val="000000"/>
        </w:rPr>
        <w:t>9.3. Доступність</w:t>
      </w:r>
    </w:p>
    <w:p>
      <w:pPr>
        <w:pStyle w:val="Normal"/>
        <w:jc w:val="both"/>
        <w:rPr>
          <w:color w:val="000000"/>
        </w:rPr>
      </w:pPr>
      <w:r>
        <w:rPr>
          <w:rFonts w:eastAsia="Liberation Sans"/>
          <w:color w:val="000000"/>
        </w:rPr>
        <w:t>Власники даних разом з IT-відділом повинні забезпечити, щоб критичні дані були доступні тоді, коли вони потрібні для роботи банку. Для цього використовуються backup, Disaster Recovery, моніторинг систем, резервні канали зв’язку та плани відновлення.</w:t>
      </w:r>
    </w:p>
    <w:p>
      <w:pPr>
        <w:pStyle w:val="Normal"/>
        <w:jc w:val="both"/>
        <w:rPr>
          <w:color w:val="000000"/>
        </w:rPr>
      </w:pPr>
      <w:r>
        <w:rPr>
          <w:rFonts w:eastAsia="Liberation Sans"/>
          <w:color w:val="000000"/>
        </w:rPr>
        <w:t>Приклад: якщо основна база клієнтів стає недоступною через технічний збій або кібератаку, банк повинен мати можливість відновити її з резервної копії у визначений час.</w:t>
      </w:r>
    </w:p>
    <w:p>
      <w:pPr>
        <w:pStyle w:val="Heading1"/>
        <w:keepNext w:val="true"/>
        <w:spacing w:before="0" w:after="0"/>
        <w:rPr>
          <w:color w:val="000000"/>
        </w:rPr>
      </w:pPr>
      <w:r>
        <w:rPr>
          <w:rFonts w:eastAsia="Liberation Sans" w:ascii="Liberation Sans" w:hAnsi="Liberation Sans"/>
          <w:color w:val="000000"/>
        </w:rPr>
        <w:t>10. Додаткові організаційні правила</w:t>
      </w:r>
    </w:p>
    <w:p>
      <w:pPr>
        <w:pStyle w:val="Heading2"/>
        <w:keepNext w:val="true"/>
        <w:spacing w:before="0" w:after="0"/>
        <w:rPr>
          <w:color w:val="000000"/>
        </w:rPr>
      </w:pPr>
      <w:r>
        <w:rPr>
          <w:rFonts w:eastAsia="Liberation Sans" w:ascii="Liberation Sans" w:hAnsi="Liberation Sans"/>
          <w:color w:val="000000"/>
        </w:rPr>
        <w:t>10.1. Перегляд доступів</w:t>
      </w:r>
    </w:p>
    <w:p>
      <w:pPr>
        <w:pStyle w:val="Normal"/>
        <w:jc w:val="both"/>
        <w:rPr>
          <w:color w:val="000000"/>
        </w:rPr>
      </w:pPr>
      <w:r>
        <w:rPr>
          <w:rFonts w:eastAsia="Liberation Sans"/>
          <w:color w:val="000000"/>
        </w:rPr>
        <w:t>Усі права доступу до критичних систем повинні переглядатися не рідше одного разу на квартал. Після звільнення працівника або зміни його посади доступи повинні бути змінені або заблоковані негайно.</w:t>
      </w:r>
    </w:p>
    <w:p>
      <w:pPr>
        <w:pStyle w:val="Heading2"/>
        <w:keepNext w:val="true"/>
        <w:spacing w:before="0" w:after="0"/>
        <w:rPr>
          <w:color w:val="000000"/>
        </w:rPr>
      </w:pPr>
      <w:r>
        <w:rPr>
          <w:rFonts w:eastAsia="Liberation Sans" w:ascii="Liberation Sans" w:hAnsi="Liberation Sans"/>
          <w:color w:val="000000"/>
        </w:rPr>
        <w:t>10.2. Моніторинг і журналювання</w:t>
      </w:r>
    </w:p>
    <w:p>
      <w:pPr>
        <w:pStyle w:val="Normal"/>
        <w:jc w:val="both"/>
        <w:rPr>
          <w:color w:val="000000"/>
        </w:rPr>
      </w:pPr>
      <w:r>
        <w:rPr>
          <w:rFonts w:eastAsia="Liberation Sans"/>
          <w:color w:val="000000"/>
        </w:rPr>
        <w:t>Доступ до клієнтських, фінансових, платіжних і технічних даних повинен журналюватися. Логи повинні передаватися до SIEM для виявлення підозрілих дій, наприклад масового експорту даних, входу з незвичної локації, невдалих спроб входу або використання привілейованих акаунтів.</w:t>
      </w:r>
    </w:p>
    <w:p>
      <w:pPr>
        <w:pStyle w:val="Heading2"/>
        <w:keepNext w:val="true"/>
        <w:spacing w:before="0" w:after="0"/>
        <w:rPr>
          <w:color w:val="000000"/>
        </w:rPr>
      </w:pPr>
      <w:r>
        <w:rPr>
          <w:rFonts w:eastAsia="Liberation Sans" w:ascii="Liberation Sans" w:hAnsi="Liberation Sans"/>
          <w:color w:val="000000"/>
        </w:rPr>
        <w:t>10.3. Навчання персоналу</w:t>
      </w:r>
    </w:p>
    <w:p>
      <w:pPr>
        <w:pStyle w:val="Normal"/>
        <w:jc w:val="both"/>
        <w:rPr>
          <w:color w:val="000000"/>
        </w:rPr>
      </w:pPr>
      <w:r>
        <w:rPr>
          <w:rFonts w:eastAsia="Liberation Sans"/>
          <w:color w:val="000000"/>
        </w:rPr>
        <w:t>Працівники банку повинні регулярно проходити навчання з інформаційної безпеки. Особлива увага приділяється phishing-атакам, правилам роботи з конфіденційними даними, безпечному обміну файлами, використанню MFA та повідомленню про інциденти.</w:t>
      </w:r>
    </w:p>
    <w:p>
      <w:pPr>
        <w:pStyle w:val="Heading2"/>
        <w:keepNext w:val="true"/>
        <w:spacing w:before="0" w:after="0"/>
        <w:rPr>
          <w:color w:val="000000"/>
        </w:rPr>
      </w:pPr>
      <w:r>
        <w:rPr>
          <w:rFonts w:eastAsia="Liberation Sans" w:ascii="Liberation Sans" w:hAnsi="Liberation Sans"/>
          <w:color w:val="000000"/>
        </w:rPr>
        <w:t>10.4. Реагування на інциденти</w:t>
      </w:r>
    </w:p>
    <w:p>
      <w:pPr>
        <w:pStyle w:val="Normal"/>
        <w:jc w:val="both"/>
        <w:rPr>
          <w:color w:val="000000"/>
        </w:rPr>
      </w:pPr>
      <w:r>
        <w:rPr>
          <w:rFonts w:eastAsia="Liberation Sans"/>
          <w:color w:val="000000"/>
        </w:rPr>
        <w:t>У разі підозри на витік даних працівник повинен негайно повідомити IT/Security-відділ або CISO. Заборонено самостійно видаляти підозрілі файли, змінювати журнали подій або приховувати факт інциденту.</w:t>
      </w:r>
    </w:p>
    <w:p>
      <w:pPr>
        <w:pStyle w:val="ListBullet"/>
        <w:numPr>
          <w:ilvl w:val="0"/>
          <w:numId w:val="1"/>
        </w:numPr>
        <w:rPr>
          <w:color w:val="000000"/>
        </w:rPr>
      </w:pPr>
      <w:r>
        <w:rPr>
          <w:rFonts w:eastAsia="Liberation Sans"/>
          <w:color w:val="000000"/>
        </w:rPr>
        <w:t>зафіксувати інцидент;</w:t>
      </w:r>
    </w:p>
    <w:p>
      <w:pPr>
        <w:pStyle w:val="ListBullet"/>
        <w:numPr>
          <w:ilvl w:val="0"/>
          <w:numId w:val="1"/>
        </w:numPr>
        <w:rPr>
          <w:color w:val="000000"/>
        </w:rPr>
      </w:pPr>
      <w:r>
        <w:rPr>
          <w:rFonts w:eastAsia="Liberation Sans"/>
          <w:color w:val="000000"/>
        </w:rPr>
        <w:t>визначити обсяг потенційного витоку;</w:t>
      </w:r>
    </w:p>
    <w:p>
      <w:pPr>
        <w:pStyle w:val="ListBullet"/>
        <w:numPr>
          <w:ilvl w:val="0"/>
          <w:numId w:val="1"/>
        </w:numPr>
        <w:rPr>
          <w:color w:val="000000"/>
        </w:rPr>
      </w:pPr>
      <w:r>
        <w:rPr>
          <w:rFonts w:eastAsia="Liberation Sans"/>
          <w:color w:val="000000"/>
        </w:rPr>
        <w:t>ізолювати уражені системи;</w:t>
      </w:r>
    </w:p>
    <w:p>
      <w:pPr>
        <w:pStyle w:val="ListBullet"/>
        <w:numPr>
          <w:ilvl w:val="0"/>
          <w:numId w:val="1"/>
        </w:numPr>
        <w:rPr>
          <w:color w:val="000000"/>
        </w:rPr>
      </w:pPr>
      <w:r>
        <w:rPr>
          <w:rFonts w:eastAsia="Liberation Sans"/>
          <w:color w:val="000000"/>
        </w:rPr>
        <w:t>зберегти докази;</w:t>
      </w:r>
    </w:p>
    <w:p>
      <w:pPr>
        <w:pStyle w:val="ListBullet"/>
        <w:numPr>
          <w:ilvl w:val="0"/>
          <w:numId w:val="1"/>
        </w:numPr>
        <w:rPr>
          <w:color w:val="000000"/>
        </w:rPr>
      </w:pPr>
      <w:r>
        <w:rPr>
          <w:rFonts w:eastAsia="Liberation Sans"/>
          <w:color w:val="000000"/>
        </w:rPr>
        <w:t>повідомити керівництво;</w:t>
      </w:r>
    </w:p>
    <w:p>
      <w:pPr>
        <w:pStyle w:val="ListBullet"/>
        <w:numPr>
          <w:ilvl w:val="0"/>
          <w:numId w:val="1"/>
        </w:numPr>
        <w:rPr>
          <w:color w:val="000000"/>
        </w:rPr>
      </w:pPr>
      <w:r>
        <w:rPr>
          <w:rFonts w:eastAsia="Liberation Sans"/>
          <w:color w:val="000000"/>
        </w:rPr>
        <w:t>за потреби залучити юридичний і compliance-відділ;</w:t>
      </w:r>
    </w:p>
    <w:p>
      <w:pPr>
        <w:pStyle w:val="ListBullet"/>
        <w:numPr>
          <w:ilvl w:val="0"/>
          <w:numId w:val="1"/>
        </w:numPr>
        <w:rPr>
          <w:color w:val="000000"/>
        </w:rPr>
      </w:pPr>
      <w:r>
        <w:rPr>
          <w:rFonts w:eastAsia="Liberation Sans"/>
          <w:color w:val="000000"/>
        </w:rPr>
        <w:t>підготувати план відновлення.</w:t>
      </w:r>
    </w:p>
    <w:p>
      <w:pPr>
        <w:pStyle w:val="Heading1"/>
        <w:keepNext w:val="true"/>
        <w:spacing w:before="0" w:after="0"/>
        <w:rPr>
          <w:color w:val="000000"/>
        </w:rPr>
      </w:pPr>
      <w:r>
        <w:rPr>
          <w:rFonts w:eastAsia="Liberation Sans" w:ascii="Liberation Sans" w:hAnsi="Liberation Sans"/>
          <w:color w:val="000000"/>
        </w:rPr>
        <w:t>11. Відповідальність за порушення політики</w:t>
      </w:r>
    </w:p>
    <w:p>
      <w:pPr>
        <w:pStyle w:val="Normal"/>
        <w:jc w:val="both"/>
        <w:rPr>
          <w:color w:val="000000"/>
        </w:rPr>
      </w:pPr>
      <w:r>
        <w:rPr>
          <w:rFonts w:eastAsia="Liberation Sans"/>
          <w:color w:val="000000"/>
        </w:rPr>
        <w:t>Порушення цієї політики може призвести до дисциплінарних заходів, обмеження доступу, службового розслідування або юридичних наслідків.</w:t>
      </w:r>
    </w:p>
    <w:p>
      <w:pPr>
        <w:pStyle w:val="ListBullet"/>
        <w:numPr>
          <w:ilvl w:val="0"/>
          <w:numId w:val="1"/>
        </w:numPr>
        <w:rPr>
          <w:color w:val="000000"/>
        </w:rPr>
      </w:pPr>
      <w:r>
        <w:rPr>
          <w:rFonts w:eastAsia="Liberation Sans"/>
          <w:color w:val="000000"/>
        </w:rPr>
        <w:t>передача конфіденційних даних через незахищені канали;</w:t>
      </w:r>
    </w:p>
    <w:p>
      <w:pPr>
        <w:pStyle w:val="ListBullet"/>
        <w:numPr>
          <w:ilvl w:val="0"/>
          <w:numId w:val="1"/>
        </w:numPr>
        <w:rPr>
          <w:color w:val="000000"/>
        </w:rPr>
      </w:pPr>
      <w:r>
        <w:rPr>
          <w:rFonts w:eastAsia="Liberation Sans"/>
          <w:color w:val="000000"/>
        </w:rPr>
        <w:t>використання особистої пошти для службових даних;</w:t>
      </w:r>
    </w:p>
    <w:p>
      <w:pPr>
        <w:pStyle w:val="ListBullet"/>
        <w:numPr>
          <w:ilvl w:val="0"/>
          <w:numId w:val="1"/>
        </w:numPr>
        <w:rPr>
          <w:color w:val="000000"/>
        </w:rPr>
      </w:pPr>
      <w:r>
        <w:rPr>
          <w:rFonts w:eastAsia="Liberation Sans"/>
          <w:color w:val="000000"/>
        </w:rPr>
        <w:t>копіювання клієнтської бази без дозволу;</w:t>
      </w:r>
    </w:p>
    <w:p>
      <w:pPr>
        <w:pStyle w:val="ListBullet"/>
        <w:numPr>
          <w:ilvl w:val="0"/>
          <w:numId w:val="1"/>
        </w:numPr>
        <w:rPr>
          <w:color w:val="000000"/>
        </w:rPr>
      </w:pPr>
      <w:r>
        <w:rPr>
          <w:rFonts w:eastAsia="Liberation Sans"/>
          <w:color w:val="000000"/>
        </w:rPr>
        <w:t>передача паролів іншим особам;</w:t>
      </w:r>
    </w:p>
    <w:p>
      <w:pPr>
        <w:pStyle w:val="ListBullet"/>
        <w:numPr>
          <w:ilvl w:val="0"/>
          <w:numId w:val="1"/>
        </w:numPr>
        <w:rPr>
          <w:color w:val="000000"/>
        </w:rPr>
      </w:pPr>
      <w:r>
        <w:rPr>
          <w:rFonts w:eastAsia="Liberation Sans"/>
          <w:color w:val="000000"/>
        </w:rPr>
        <w:t>обхід MFA;</w:t>
      </w:r>
    </w:p>
    <w:p>
      <w:pPr>
        <w:pStyle w:val="ListBullet"/>
        <w:numPr>
          <w:ilvl w:val="0"/>
          <w:numId w:val="1"/>
        </w:numPr>
        <w:rPr>
          <w:color w:val="000000"/>
        </w:rPr>
      </w:pPr>
      <w:r>
        <w:rPr>
          <w:rFonts w:eastAsia="Liberation Sans"/>
          <w:color w:val="000000"/>
        </w:rPr>
        <w:t>несанкціоноване видалення або зміна даних;</w:t>
      </w:r>
    </w:p>
    <w:p>
      <w:pPr>
        <w:pStyle w:val="ListBullet"/>
        <w:numPr>
          <w:ilvl w:val="0"/>
          <w:numId w:val="1"/>
        </w:numPr>
        <w:rPr>
          <w:color w:val="000000"/>
        </w:rPr>
      </w:pPr>
      <w:r>
        <w:rPr>
          <w:rFonts w:eastAsia="Liberation Sans"/>
          <w:color w:val="000000"/>
        </w:rPr>
        <w:t>приховування інциденту безпеки.</w:t>
      </w:r>
    </w:p>
    <w:p>
      <w:pPr>
        <w:pStyle w:val="Heading1"/>
        <w:keepNext w:val="true"/>
        <w:spacing w:before="0" w:after="0"/>
        <w:rPr>
          <w:color w:val="000000"/>
        </w:rPr>
      </w:pPr>
      <w:r>
        <w:rPr>
          <w:rFonts w:eastAsia="Liberation Sans" w:ascii="Liberation Sans" w:hAnsi="Liberation Sans"/>
          <w:color w:val="000000"/>
        </w:rPr>
        <w:t>12. Перегляд і оновлення політики</w:t>
      </w:r>
    </w:p>
    <w:p>
      <w:pPr>
        <w:pStyle w:val="Normal"/>
        <w:jc w:val="both"/>
        <w:rPr>
          <w:color w:val="000000"/>
        </w:rPr>
      </w:pPr>
      <w:r>
        <w:rPr>
          <w:rFonts w:eastAsia="Liberation Sans"/>
          <w:color w:val="000000"/>
        </w:rPr>
        <w:t>Ця політика повинна переглядатися не рідше одного разу на рік або після суттєвих змін у системах банку, появи нових ризиків, інцидентів безпеки, результатів аудиту або змін у законодавчих вимогах.</w:t>
      </w:r>
    </w:p>
    <w:p>
      <w:pPr>
        <w:pStyle w:val="Normal"/>
        <w:jc w:val="both"/>
        <w:rPr>
          <w:color w:val="000000"/>
        </w:rPr>
      </w:pPr>
      <w:r>
        <w:rPr>
          <w:rFonts w:eastAsia="Liberation Sans"/>
          <w:color w:val="000000"/>
        </w:rPr>
        <w:t>Відповідальним за перегляд політики є CISO разом з IT-директором, Compliance-відділом, юридичним відділом і власниками основних категорій даних.</w:t>
      </w:r>
    </w:p>
    <w:p>
      <w:pPr>
        <w:pStyle w:val="Heading1"/>
        <w:keepNext w:val="true"/>
        <w:spacing w:before="0" w:after="0"/>
        <w:rPr>
          <w:color w:val="000000"/>
        </w:rPr>
      </w:pPr>
      <w:r>
        <w:rPr>
          <w:rFonts w:eastAsia="Liberation Sans" w:ascii="Liberation Sans" w:hAnsi="Liberation Sans"/>
          <w:color w:val="000000"/>
        </w:rPr>
        <w:t>13. Чек-лист відповідності критеріям</w:t>
      </w:r>
    </w:p>
    <w:tbl>
      <w:tblPr>
        <w:tblStyle w:val="TableGrid"/>
        <w:tblW w:w="9867" w:type="dxa"/>
        <w:jc w:val="center"/>
        <w:tblInd w:w="0" w:type="dxa"/>
        <w:tblLayout w:type="fixed"/>
        <w:tblCellMar>
          <w:top w:w="110" w:type="dxa"/>
          <w:left w:w="100" w:type="dxa"/>
          <w:bottom w:w="110" w:type="dxa"/>
          <w:right w:w="100" w:type="dxa"/>
        </w:tblCellMar>
        <w:tblLook w:firstRow="1" w:noVBand="1" w:lastRow="0" w:firstColumn="1" w:lastColumn="0" w:noHBand="0" w:val="04a0"/>
      </w:tblPr>
      <w:tblGrid>
        <w:gridCol w:w="3289"/>
        <w:gridCol w:w="3289"/>
        <w:gridCol w:w="3289"/>
      </w:tblGrid>
      <w:tr>
        <w:trPr>
          <w:tblHeader w:val="true"/>
        </w:trPr>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Критерій прийняття</w:t>
            </w:r>
          </w:p>
        </w:tc>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Як виконано у документі</w:t>
            </w:r>
          </w:p>
        </w:tc>
        <w:tc>
          <w:tcPr>
            <w:tcW w:w="3289" w:type="dxa"/>
            <w:tcBorders>
              <w:top w:val="single" w:sz="6" w:space="0" w:color="BFBFBF"/>
              <w:left w:val="single" w:sz="6" w:space="0" w:color="BFBFBF"/>
              <w:bottom w:val="single" w:sz="6" w:space="0" w:color="BFBFBF"/>
              <w:right w:val="single" w:sz="6" w:space="0" w:color="BFBFBF"/>
            </w:tcBorders>
            <w:shd w:fill="1F4E79"/>
            <w:vAlign w:val="center"/>
          </w:tcPr>
          <w:p>
            <w:pPr>
              <w:pStyle w:val="Normal"/>
              <w:widowControl/>
              <w:spacing w:before="0" w:after="120"/>
              <w:jc w:val="center"/>
              <w:rPr>
                <w:rFonts w:cs=""/>
                <w:color w:val="000000"/>
                <w:kern w:val="0"/>
                <w:szCs w:val="22"/>
                <w:lang w:val="en-US" w:eastAsia="en-US" w:bidi="ar-SA"/>
              </w:rPr>
            </w:pPr>
            <w:r>
              <w:rPr>
                <w:rFonts w:cs=""/>
                <w:b/>
                <w:color w:val="000000"/>
                <w:kern w:val="0"/>
                <w:sz w:val="16"/>
                <w:szCs w:val="22"/>
                <w:lang w:val="en-US" w:eastAsia="en-US" w:bidi="ar-SA"/>
              </w:rPr>
              <w:t>Статус</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Політика описує правила доступу до даних</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Розділ 4 містить принципи доступу, ролі, MFA та парольну політику</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Виконано</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Політика описує правила обміну даними</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Розділ 5 описує внутрішній і зовнішній обмін, шифрування, VPN, NDA та контроль передачі</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Виконано</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Політика описує правила зберігання даних</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Розділ 6 визначає місця зберігання, backup, RPO/RTO і захист резервних копій</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Виконано</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Політика описує правила знищення даних</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Розділ 7 визначає методи знищення фізичних і цифрових носіїв</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Виконано</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Визначено власників даних</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Розділ 8 визначає відповідальних осіб для кожної категорії даних</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Виконано</w:t>
            </w:r>
          </w:p>
        </w:tc>
      </w:tr>
      <w:tr>
        <w:trPr/>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Описано обов’язки власників даних</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Розділ 9 пояснює обов’язки щодо конфіденційності, цілісності та доступності</w:t>
            </w:r>
          </w:p>
        </w:tc>
        <w:tc>
          <w:tcPr>
            <w:tcW w:w="3289" w:type="dxa"/>
            <w:tcBorders>
              <w:top w:val="single" w:sz="6" w:space="0" w:color="BFBFBF"/>
              <w:left w:val="single" w:sz="6" w:space="0" w:color="BFBFBF"/>
              <w:bottom w:val="single" w:sz="6" w:space="0" w:color="BFBFBF"/>
              <w:right w:val="single" w:sz="6" w:space="0" w:color="BFBFBF"/>
            </w:tcBorders>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Виконано</w:t>
            </w:r>
          </w:p>
        </w:tc>
      </w:tr>
      <w:tr>
        <w:trPr/>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Документ має чітку структуру</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Документ містить титульну сторінку, зміст, розділи, таблиці та висновок</w:t>
            </w:r>
          </w:p>
        </w:tc>
        <w:tc>
          <w:tcPr>
            <w:tcW w:w="3289" w:type="dxa"/>
            <w:tcBorders>
              <w:top w:val="single" w:sz="6" w:space="0" w:color="BFBFBF"/>
              <w:left w:val="single" w:sz="6" w:space="0" w:color="BFBFBF"/>
              <w:bottom w:val="single" w:sz="6" w:space="0" w:color="BFBFBF"/>
              <w:right w:val="single" w:sz="6" w:space="0" w:color="BFBFBF"/>
            </w:tcBorders>
            <w:shd w:fill="F3F7FA"/>
            <w:tcMar>
              <w:top w:w="90" w:type="dxa"/>
              <w:bottom w:w="90" w:type="dxa"/>
            </w:tcMar>
          </w:tcPr>
          <w:p>
            <w:pPr>
              <w:pStyle w:val="Normal"/>
              <w:widowControl/>
              <w:spacing w:before="0" w:after="0"/>
              <w:jc w:val="left"/>
              <w:rPr>
                <w:rFonts w:cs=""/>
                <w:color w:val="000000"/>
                <w:kern w:val="0"/>
                <w:szCs w:val="22"/>
                <w:lang w:val="en-US" w:eastAsia="en-US" w:bidi="ar-SA"/>
              </w:rPr>
            </w:pPr>
            <w:r>
              <w:rPr>
                <w:rFonts w:cs=""/>
                <w:color w:val="000000"/>
                <w:kern w:val="0"/>
                <w:sz w:val="16"/>
                <w:szCs w:val="22"/>
                <w:lang w:val="en-US" w:eastAsia="en-US" w:bidi="ar-SA"/>
              </w:rPr>
              <w:t>Виконано</w:t>
            </w:r>
          </w:p>
        </w:tc>
      </w:tr>
    </w:tbl>
    <w:p>
      <w:pPr>
        <w:pStyle w:val="Normal"/>
        <w:rPr>
          <w:color w:val="000000"/>
        </w:rPr>
      </w:pPr>
      <w:r>
        <w:rPr>
          <w:color w:val="000000"/>
        </w:rPr>
      </w:r>
    </w:p>
    <w:p>
      <w:pPr>
        <w:pStyle w:val="Heading1"/>
        <w:keepNext w:val="true"/>
        <w:spacing w:before="0" w:after="0"/>
        <w:rPr>
          <w:color w:val="000000"/>
        </w:rPr>
      </w:pPr>
      <w:r>
        <w:rPr>
          <w:rFonts w:eastAsia="Liberation Sans" w:ascii="Liberation Sans" w:hAnsi="Liberation Sans"/>
          <w:color w:val="000000"/>
        </w:rPr>
        <w:t>14. Висновок</w:t>
      </w:r>
    </w:p>
    <w:p>
      <w:pPr>
        <w:pStyle w:val="Normal"/>
        <w:jc w:val="both"/>
        <w:rPr>
          <w:color w:val="000000"/>
        </w:rPr>
      </w:pPr>
      <w:r>
        <w:rPr>
          <w:rFonts w:eastAsia="Liberation Sans"/>
          <w:color w:val="000000"/>
        </w:rPr>
        <w:t>Розроблена політика керування даними визначає основні правила доступу, обміну, зберігання та знищення даних у банківській організації. Вона враховує попередньо визначений ризик витоку конфіденційних даних клієнтів і базується на принципах мінімальних привілеїв, багатофакторної автентифікації, шифрування, журналювання, резервного копіювання та контрольованого знищення інформації.</w:t>
      </w:r>
    </w:p>
    <w:p>
      <w:pPr>
        <w:pStyle w:val="Normal"/>
        <w:spacing w:before="0" w:after="120"/>
        <w:jc w:val="both"/>
        <w:rPr/>
      </w:pPr>
      <w:r>
        <w:rPr>
          <w:rFonts w:eastAsia="Liberation Sans"/>
          <w:color w:val="000000"/>
        </w:rPr>
        <w:t>У документі також визначено власників даних для кожної категорії та описано їхні обов’язки щодо конфіденційності, цілісності та доступності. Такий підхід допомагає організації зменшити ризик витоку інформації, підвищити контроль над інформаційними активами та забезпечити більш системне управління даними.</w:t>
      </w:r>
    </w:p>
    <w:sectPr>
      <w:headerReference w:type="default" r:id="rId2"/>
      <w:footerReference w:type="default" r:id="rId3"/>
      <w:type w:val="nextPage"/>
      <w:pgSz w:w="11906" w:h="16838"/>
      <w:pgMar w:left="1020" w:right="1020" w:gutter="0" w:header="454" w:top="1020" w:footer="454"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iberation Sans">
    <w:altName w:val="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404040"/>
        <w:sz w:val="16"/>
      </w:rPr>
      <w:t>ДЗ4 | Політика керування даними | Ігор Задор</w:t>
    </w:r>
    <w:r>
      <w:rPr>
        <w:color w:val="404040"/>
        <w:sz w:val="16"/>
        <w:lang w:val="uk-UA"/>
      </w:rPr>
      <w:t>ожняк</w:t>
    </w:r>
    <w:r>
      <w:rPr>
        <w:color w:val="404040"/>
        <w:sz w:val="16"/>
      </w:rPr>
      <w:t xml:space="preserve"> | Сторінка </w:t>
    </w: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color w:val="404040"/>
        <w:sz w:val="16"/>
      </w:rPr>
      <w:t>Asset Management and Data Security | Домашнє завдання 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left"/>
    </w:pPr>
    <w:rPr>
      <w:rFonts w:ascii="Liberation Sans" w:hAnsi="Liberation Sans" w:eastAsia="Liberation San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20"/>
      <w:outlineLvl w:val="0"/>
    </w:pPr>
    <w:rPr>
      <w:rFonts w:ascii="Calibri" w:hAnsi="Calibri" w:eastAsia="ＭＳ ゴシック"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ＭＳ ゴシック" w:cs="" w:asciiTheme="majorHAnsi" w:cstheme="majorBidi" w:eastAsiaTheme="majorEastAsia" w:hAnsiTheme="majorHAnsi"/>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20"/>
      <w:outlineLvl w:val="2"/>
    </w:pPr>
    <w:rPr>
      <w:rFonts w:ascii="Calibri" w:hAnsi="Calibri" w:eastAsia="ＭＳ ゴシック" w:cs="" w:asciiTheme="majorHAnsi" w:cstheme="majorBidi" w:eastAsiaTheme="majorEastAsia" w:hAnsiTheme="majorHAnsi"/>
      <w:b/>
      <w:bCs/>
      <w:color w:val="40404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120"/>
      <w:contextualSpacing/>
    </w:pPr>
    <w:rPr>
      <w:rFonts w:ascii="Calibri" w:hAnsi="Calibri" w:eastAsia="ＭＳ ゴシック" w:cs="" w:asciiTheme="majorHAnsi" w:cstheme="majorBidi" w:eastAsiaTheme="majorEastAsia" w:hAnsiTheme="majorHAnsi"/>
      <w:color w:val="1F4E79"/>
      <w:spacing w:val="5"/>
      <w:kern w:val="2"/>
      <w:sz w:val="52"/>
      <w:szCs w:val="52"/>
    </w:rPr>
  </w:style>
  <w:style w:type="paragraph" w:styleId="Subtitle">
    <w:name w:val="Subtitle"/>
    <w:basedOn w:val="Normal"/>
    <w:next w:val="Normal"/>
    <w:link w:val="SubtitleChar"/>
    <w:uiPriority w:val="11"/>
    <w:qFormat/>
    <w:rsid w:val="00fc693f"/>
    <w:pPr>
      <w:spacing w:before="0" w:after="120"/>
    </w:pPr>
    <w:rPr>
      <w:rFonts w:ascii="Calibri" w:hAnsi="Calibri" w:eastAsia="ＭＳ ゴシック" w:cs="" w:asciiTheme="majorHAnsi" w:cstheme="majorBidi" w:eastAsiaTheme="majorEastAsia" w:hAnsiTheme="majorHAnsi"/>
      <w:i/>
      <w:iCs/>
      <w:color w:val="404040"/>
      <w:spacing w:val="15"/>
      <w:sz w:val="28"/>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SmallText" w:customStyle="1">
    <w:name w:val="Small Text"/>
    <w:qFormat/>
    <w:pPr>
      <w:widowControl/>
      <w:bidi w:val="0"/>
      <w:spacing w:lineRule="auto" w:line="276" w:before="0" w:after="60"/>
      <w:jc w:val="left"/>
    </w:pPr>
    <w:rPr>
      <w:rFonts w:ascii="Liberation Sans" w:hAnsi="Liberation Sans" w:eastAsia="Liberation Sans" w:cs=""/>
      <w:color w:val="404040"/>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Real_Office/7.4.0.3$Windows_X86_64 LibreOffice_project/</Application>
  <AppVersion>15.0000</AppVersion>
  <Pages>9</Pages>
  <Words>2269</Words>
  <Characters>15836</Characters>
  <CharactersWithSpaces>17733</CharactersWithSpaces>
  <Paragraphs>312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Ihor Zador</dc:creator>
  <dc:description>Навчальний документ для LMS</dc:description>
  <cp:keywords>data management cybersecurity asset management banking policy</cp:keywords>
  <dc:language>en-US</dc:language>
  <cp:lastModifiedBy/>
  <dcterms:modified xsi:type="dcterms:W3CDTF">2026-07-05T15:59:29Z</dcterms:modified>
  <cp:revision>2</cp:revision>
  <dc:subject>Asset Management and Data Security</dc:subject>
  <dc:title>ДЗ4: Політика керування даними</dc:title>
</cp:coreProperties>
</file>

<file path=docProps/custom.xml><?xml version="1.0" encoding="utf-8"?>
<Properties xmlns="http://schemas.openxmlformats.org/officeDocument/2006/custom-properties" xmlns:vt="http://schemas.openxmlformats.org/officeDocument/2006/docPropsVTypes"/>
</file>