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rFonts w:ascii="Times New Roman" w:hAnsi="Times New Roman"/>
          <w:color w:val="000000"/>
        </w:rPr>
      </w:pPr>
      <w:r>
        <w:rPr>
          <w:rFonts w:ascii="Times New Roman" w:hAnsi="Times New Roman"/>
          <w:b/>
          <w:bCs/>
          <w:color w:val="000000"/>
          <w:sz w:val="32"/>
          <w:szCs w:val="32"/>
        </w:rPr>
        <w:t>ДОМАШНЄ ЗАВДАННЯ №8</w:t>
      </w:r>
    </w:p>
    <w:p>
      <w:pPr>
        <w:pStyle w:val="Normal"/>
        <w:spacing w:before="200" w:after="200"/>
        <w:jc w:val="center"/>
        <w:rPr>
          <w:rFonts w:ascii="Times New Roman" w:hAnsi="Times New Roman"/>
          <w:color w:val="000000"/>
        </w:rPr>
      </w:pPr>
      <w:r>
        <w:rPr>
          <w:rFonts w:ascii="Times New Roman" w:hAnsi="Times New Roman"/>
          <w:b/>
          <w:bCs/>
          <w:color w:val="000000"/>
          <w:sz w:val="28"/>
          <w:szCs w:val="28"/>
        </w:rPr>
        <w:t>Тема 8. Аналіз витрат на керування активами</w:t>
      </w:r>
    </w:p>
    <w:p>
      <w:pPr>
        <w:pStyle w:val="Normal"/>
        <w:spacing w:before="0" w:after="600"/>
        <w:jc w:val="center"/>
        <w:rPr>
          <w:rFonts w:ascii="Times New Roman" w:hAnsi="Times New Roman"/>
          <w:color w:val="000000"/>
        </w:rPr>
      </w:pPr>
      <w:r>
        <w:rPr>
          <w:rFonts w:ascii="Times New Roman" w:hAnsi="Times New Roman"/>
          <w:i/>
          <w:iCs/>
          <w:color w:val="000000"/>
          <w:sz w:val="22"/>
          <w:szCs w:val="22"/>
        </w:rPr>
        <w:t>Оцінка вартості життєвого циклу ключового активу та бізнес-кейс інвестицій у безпеку</w:t>
      </w:r>
    </w:p>
    <w:p>
      <w:pPr>
        <w:pStyle w:val="Normal"/>
        <w:rPr>
          <w:rFonts w:ascii="Times New Roman" w:hAnsi="Times New Roman"/>
          <w:color w:val="000000"/>
        </w:rPr>
      </w:pPr>
      <w:r>
        <w:rPr>
          <w:rFonts w:ascii="Times New Roman" w:hAnsi="Times New Roman"/>
          <w:color w:val="000000"/>
        </w:rPr>
      </w:r>
      <w:r>
        <w:br w:type="page"/>
      </w:r>
    </w:p>
    <w:p>
      <w:pPr>
        <w:pStyle w:val="Heading1"/>
        <w:pBdr>
          <w:bottom w:val="single" w:sz="8" w:space="4" w:color="1F3864"/>
        </w:pBdr>
        <w:spacing w:before="0" w:after="0"/>
        <w:rPr>
          <w:rFonts w:ascii="Times New Roman" w:hAnsi="Times New Roman"/>
          <w:color w:val="000000"/>
        </w:rPr>
      </w:pPr>
      <w:r>
        <w:rPr>
          <w:rFonts w:ascii="Times New Roman" w:hAnsi="Times New Roman"/>
          <w:b/>
          <w:bCs/>
          <w:color w:val="000000"/>
          <w:sz w:val="30"/>
          <w:szCs w:val="30"/>
        </w:rPr>
        <w:t>1. Вступ</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Дане завдання є завершальним етапом курсу і поєднує результати попередніх робіт: інвентаризацію активів (CIS Control 1), класифікацію їхньої критичності, а також розробку заходів захисту (CIS Controls 4–13). На цьому етапі проводиться фінансова оцінка — розрахунок сукупної вартості володіння (Total Cost of Ownership, TCO) ключовим активом протягом усього життєвого циклу, а також витрат на супутні системи інформаційної безпеки.</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Об'єктом аналізу обрано умовну фінтех-компанію «FinPay Ukraine», що надає послуги онлайн-платежів та еквайрингу і працює в гібридній інфраструктурі (частина систем розміщена в приватному дата-центрі, частина — у хмарі). Ключовим активом для аналізу є сервер бази даних платіжного процесингу — компонент, що зберігає та обробляє транзакційні й персональні дані клієнтів і віднесений до найвищої категорії критичності (Critical) за результатами попереднього оцінювання активів.</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Мета роботи — розрахувати витрати на кожному етапі життєвого циклу активу (придбання, впровадження, експлуатація, оновлення, утилізація), окремо оцінити витрати на системи інформаційної безпеки (SIEM, EDR, EPP, IPS, IDS, Firewall), а також підготувати бізнес-кейс, що обґрунтовує доцільність цих інвестицій з точки зору зниження ризиків та підвищення операційної ефективності.</w:t>
      </w:r>
    </w:p>
    <w:p>
      <w:pPr>
        <w:pStyle w:val="Heading1"/>
        <w:pBdr>
          <w:bottom w:val="single" w:sz="8" w:space="4" w:color="1F3864"/>
        </w:pBdr>
        <w:spacing w:before="0" w:after="0"/>
        <w:rPr>
          <w:rFonts w:ascii="Times New Roman" w:hAnsi="Times New Roman"/>
          <w:color w:val="000000"/>
        </w:rPr>
      </w:pPr>
      <w:r>
        <w:rPr>
          <w:rFonts w:ascii="Times New Roman" w:hAnsi="Times New Roman"/>
          <w:b/>
          <w:bCs/>
          <w:color w:val="000000"/>
          <w:sz w:val="30"/>
          <w:szCs w:val="30"/>
        </w:rPr>
        <w:t>2. Опис активу та методологія оцінювання</w:t>
      </w:r>
    </w:p>
    <w:p>
      <w:pPr>
        <w:pStyle w:val="Heading2"/>
        <w:spacing w:before="0" w:after="0"/>
        <w:rPr>
          <w:rFonts w:ascii="Times New Roman" w:hAnsi="Times New Roman"/>
          <w:color w:val="000000"/>
        </w:rPr>
      </w:pPr>
      <w:r>
        <w:rPr>
          <w:rFonts w:ascii="Times New Roman" w:hAnsi="Times New Roman"/>
          <w:b/>
          <w:bCs/>
          <w:color w:val="000000"/>
          <w:sz w:val="25"/>
          <w:szCs w:val="25"/>
        </w:rPr>
        <w:t>2.1 Характеристика активу</w:t>
      </w:r>
    </w:p>
    <w:tbl>
      <w:tblPr>
        <w:tblW w:w="9500" w:type="dxa"/>
        <w:jc w:val="left"/>
        <w:tblInd w:w="0" w:type="dxa"/>
        <w:tblLayout w:type="fixed"/>
        <w:tblCellMar>
          <w:top w:w="80" w:type="dxa"/>
          <w:left w:w="100" w:type="dxa"/>
          <w:bottom w:w="80" w:type="dxa"/>
          <w:right w:w="100" w:type="dxa"/>
        </w:tblCellMar>
      </w:tblPr>
      <w:tblGrid>
        <w:gridCol w:w="3400"/>
        <w:gridCol w:w="6099"/>
      </w:tblGrid>
      <w:tr>
        <w:trPr>
          <w:tblHeader w:val="true"/>
        </w:trPr>
        <w:tc>
          <w:tcPr>
            <w:tcW w:w="34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Параметр</w:t>
            </w:r>
          </w:p>
        </w:tc>
        <w:tc>
          <w:tcPr>
            <w:tcW w:w="609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Значення</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Назва активу</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Сервер бази даних платіжного процесингу (Core Payment DB)</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Тип активу</w:t>
            </w:r>
          </w:p>
        </w:tc>
        <w:tc>
          <w:tcPr>
            <w:tcW w:w="60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Апаратно-програмний комплекс (сервер + СУБД)</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Розташування</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Приватний дата-центр (Tier III), резервування у хмарі</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Категорія критичності</w:t>
            </w:r>
          </w:p>
        </w:tc>
        <w:tc>
          <w:tcPr>
            <w:tcW w:w="60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Critical (найвищий рівень за CIS-класифікацією)</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Дані, що обробляються</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Транзакційні дані, персональні дані клієнтів, платіжні реквізити (PCI DSS scope)</w:t>
            </w:r>
          </w:p>
        </w:tc>
      </w:tr>
      <w:tr>
        <w:trPr/>
        <w:tc>
          <w:tcPr>
            <w:tcW w:w="34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Життєвий цикл, що аналізується</w:t>
            </w:r>
          </w:p>
        </w:tc>
        <w:tc>
          <w:tcPr>
            <w:tcW w:w="60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5 років (типовий цикл оновлення серверного обладнання)</w:t>
            </w:r>
          </w:p>
        </w:tc>
      </w:tr>
      <w:tr>
        <w:trPr/>
        <w:tc>
          <w:tcPr>
            <w:tcW w:w="3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Пов'язані регуляторні вимоги</w:t>
            </w:r>
          </w:p>
        </w:tc>
        <w:tc>
          <w:tcPr>
            <w:tcW w:w="60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PCI DSS, Закон України «Про захист персональних даних», положення НБУ щодо кіберзахисту</w:t>
            </w:r>
          </w:p>
        </w:tc>
      </w:tr>
    </w:tbl>
    <w:p>
      <w:pPr>
        <w:pStyle w:val="Heading2"/>
        <w:spacing w:before="0" w:after="0"/>
        <w:rPr>
          <w:rFonts w:ascii="Times New Roman" w:hAnsi="Times New Roman"/>
          <w:color w:val="000000"/>
        </w:rPr>
      </w:pPr>
      <w:r>
        <w:rPr>
          <w:rFonts w:ascii="Times New Roman" w:hAnsi="Times New Roman"/>
          <w:b/>
          <w:bCs/>
          <w:color w:val="000000"/>
          <w:sz w:val="25"/>
          <w:szCs w:val="25"/>
        </w:rPr>
        <w:t>2.2 Методологія</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Розрахунок виконано за моделлю TCO (Total Cost of Ownership), яка враховує не лише вартість придбання, а й усі витрати впродовж строку служби активу. Витрати розподілено за п'ятьма етапами життєвого циклу:</w:t>
      </w:r>
    </w:p>
    <w:p>
      <w:pPr>
        <w:pStyle w:val="ListParagraph"/>
        <w:numPr>
          <w:ilvl w:val="0"/>
          <w:numId w:val="4"/>
        </w:numPr>
        <w:spacing w:lineRule="exact" w:line="280" w:before="0" w:after="100"/>
        <w:rPr>
          <w:rFonts w:ascii="Times New Roman" w:hAnsi="Times New Roman"/>
          <w:color w:val="000000"/>
        </w:rPr>
      </w:pPr>
      <w:r>
        <w:rPr>
          <w:rFonts w:ascii="Times New Roman" w:hAnsi="Times New Roman"/>
          <w:color w:val="000000"/>
          <w:sz w:val="22"/>
          <w:szCs w:val="22"/>
        </w:rPr>
        <w:t>Придбання (Acquisition) — закупівля обладнання, ліцензій, базового програмного забезпечення.</w:t>
      </w:r>
    </w:p>
    <w:p>
      <w:pPr>
        <w:pStyle w:val="ListParagraph"/>
        <w:numPr>
          <w:ilvl w:val="0"/>
          <w:numId w:val="1"/>
        </w:numPr>
        <w:spacing w:lineRule="exact" w:line="280" w:before="0" w:after="100"/>
        <w:rPr>
          <w:rFonts w:ascii="Times New Roman" w:hAnsi="Times New Roman"/>
          <w:color w:val="000000"/>
        </w:rPr>
      </w:pPr>
      <w:r>
        <w:rPr>
          <w:rFonts w:ascii="Times New Roman" w:hAnsi="Times New Roman"/>
          <w:color w:val="000000"/>
          <w:sz w:val="22"/>
          <w:szCs w:val="22"/>
        </w:rPr>
        <w:t>Впровадження (Implementation) — встановлення, конфігурування, міграція даних, навчання персоналу.</w:t>
      </w:r>
    </w:p>
    <w:p>
      <w:pPr>
        <w:pStyle w:val="ListParagraph"/>
        <w:numPr>
          <w:ilvl w:val="0"/>
          <w:numId w:val="1"/>
        </w:numPr>
        <w:spacing w:lineRule="exact" w:line="280" w:before="0" w:after="100"/>
        <w:rPr>
          <w:rFonts w:ascii="Times New Roman" w:hAnsi="Times New Roman"/>
          <w:color w:val="000000"/>
        </w:rPr>
      </w:pPr>
      <w:r>
        <w:rPr>
          <w:rFonts w:ascii="Times New Roman" w:hAnsi="Times New Roman"/>
          <w:color w:val="000000"/>
          <w:sz w:val="22"/>
          <w:szCs w:val="22"/>
        </w:rPr>
        <w:t>Експлуатація та обслуговування (Operation &amp; Maintenance) — щорічні витрати на підтримку, адміністрування, резервне копіювання, електроживлення.</w:t>
      </w:r>
    </w:p>
    <w:p>
      <w:pPr>
        <w:pStyle w:val="ListParagraph"/>
        <w:numPr>
          <w:ilvl w:val="0"/>
          <w:numId w:val="1"/>
        </w:numPr>
        <w:spacing w:lineRule="exact" w:line="280" w:before="0" w:after="100"/>
        <w:rPr>
          <w:rFonts w:ascii="Times New Roman" w:hAnsi="Times New Roman"/>
          <w:color w:val="000000"/>
        </w:rPr>
      </w:pPr>
      <w:r>
        <w:rPr>
          <w:rFonts w:ascii="Times New Roman" w:hAnsi="Times New Roman"/>
          <w:color w:val="000000"/>
          <w:sz w:val="22"/>
          <w:szCs w:val="22"/>
        </w:rPr>
        <w:t>Оновлення (Upgrade/Refresh) — планові модернізації обладнання та програмного забезпечення протягом циклу.</w:t>
      </w:r>
    </w:p>
    <w:p>
      <w:pPr>
        <w:pStyle w:val="ListParagraph"/>
        <w:numPr>
          <w:ilvl w:val="0"/>
          <w:numId w:val="1"/>
        </w:numPr>
        <w:spacing w:lineRule="exact" w:line="280" w:before="0" w:after="100"/>
        <w:rPr>
          <w:rFonts w:ascii="Times New Roman" w:hAnsi="Times New Roman"/>
          <w:color w:val="000000"/>
        </w:rPr>
      </w:pPr>
      <w:r>
        <w:rPr>
          <w:rFonts w:ascii="Times New Roman" w:hAnsi="Times New Roman"/>
          <w:color w:val="000000"/>
          <w:sz w:val="22"/>
          <w:szCs w:val="22"/>
        </w:rPr>
        <w:t>Утилізація (Disposal) — безпечне знищення даних, списання та утилізація обладнання наприкінці строку служби.</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Окремим блоком розраховано витрати на шість класів систем інформаційної безпеки, що захищають цей актив: SIEM, EDR, EPP, IPS, IDS та Firewall (NGFW), оскільки саме вони формують основну частину бюджету безпеки і повинні обґрунтовуватися окремо від вартості самого серверного обладнання.</w:t>
      </w:r>
    </w:p>
    <w:p>
      <w:pPr>
        <w:pStyle w:val="Heading1"/>
        <w:pBdr>
          <w:bottom w:val="single" w:sz="8" w:space="4" w:color="1F3864"/>
        </w:pBdr>
        <w:spacing w:before="0" w:after="0"/>
        <w:rPr>
          <w:rFonts w:ascii="Times New Roman" w:hAnsi="Times New Roman"/>
          <w:color w:val="000000"/>
        </w:rPr>
      </w:pPr>
      <w:r>
        <w:rPr>
          <w:rFonts w:ascii="Times New Roman" w:hAnsi="Times New Roman"/>
          <w:b/>
          <w:bCs/>
          <w:color w:val="000000"/>
          <w:sz w:val="30"/>
          <w:szCs w:val="30"/>
        </w:rPr>
        <w:t>3. Розрахунок витрат на актив протягом життєвого циклу</w:t>
      </w:r>
    </w:p>
    <w:p>
      <w:pPr>
        <w:pStyle w:val="Heading2"/>
        <w:spacing w:before="0" w:after="0"/>
        <w:rPr>
          <w:rFonts w:ascii="Times New Roman" w:hAnsi="Times New Roman"/>
          <w:color w:val="000000"/>
        </w:rPr>
      </w:pPr>
      <w:r>
        <w:rPr>
          <w:rFonts w:ascii="Times New Roman" w:hAnsi="Times New Roman"/>
          <w:b/>
          <w:bCs/>
          <w:color w:val="000000"/>
          <w:sz w:val="25"/>
          <w:szCs w:val="25"/>
        </w:rPr>
        <w:t>3.1 Придбання (рік 0)</w:t>
      </w:r>
    </w:p>
    <w:tbl>
      <w:tblPr>
        <w:tblW w:w="9500" w:type="dxa"/>
        <w:jc w:val="left"/>
        <w:tblInd w:w="0" w:type="dxa"/>
        <w:tblLayout w:type="fixed"/>
        <w:tblCellMar>
          <w:top w:w="80" w:type="dxa"/>
          <w:left w:w="100" w:type="dxa"/>
          <w:bottom w:w="80" w:type="dxa"/>
          <w:right w:w="100" w:type="dxa"/>
        </w:tblCellMar>
      </w:tblPr>
      <w:tblGrid>
        <w:gridCol w:w="3000"/>
        <w:gridCol w:w="4200"/>
        <w:gridCol w:w="2300"/>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Стаття витрат</w:t>
            </w:r>
          </w:p>
        </w:tc>
        <w:tc>
          <w:tcPr>
            <w:tcW w:w="4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Опис</w:t>
            </w:r>
          </w:p>
        </w:tc>
        <w:tc>
          <w:tcPr>
            <w:tcW w:w="23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Вартість, грн</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Серверне обладнання</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 сервер (Xeon, 512 ГБ RAM, RAID SSD), резервне живлення</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850 000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Операційна система</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Ліцензії Enterprise Linux / Windows Server</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60 000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СУБД</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Ліцензія промислової СУБД (Oracle/MS SQL Enterprise)</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620 000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Мережеве обладнання</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Комутатори, HBA-адаптери для підключення до СГД</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95 000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Система зберігання даних (СГД)</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Дискова полиця для резервного копіювання</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220 000</w:t>
            </w:r>
          </w:p>
        </w:tc>
      </w:tr>
    </w:tbl>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Разом витрати на придбання: 1 845 000 грн.</w:t>
      </w:r>
    </w:p>
    <w:p>
      <w:pPr>
        <w:pStyle w:val="Heading2"/>
        <w:spacing w:before="280" w:after="150"/>
        <w:rPr>
          <w:rFonts w:ascii="Times New Roman" w:hAnsi="Times New Roman"/>
          <w:color w:val="000000"/>
        </w:rPr>
      </w:pPr>
      <w:r>
        <w:rPr>
          <w:rFonts w:ascii="Times New Roman" w:hAnsi="Times New Roman"/>
          <w:b/>
          <w:bCs/>
          <w:color w:val="000000"/>
          <w:sz w:val="25"/>
          <w:szCs w:val="25"/>
        </w:rPr>
        <w:t>3.2 Впровадження (рік 0)</w:t>
      </w:r>
    </w:p>
    <w:tbl>
      <w:tblPr>
        <w:tblW w:w="9500" w:type="dxa"/>
        <w:jc w:val="left"/>
        <w:tblInd w:w="0" w:type="dxa"/>
        <w:tblLayout w:type="fixed"/>
        <w:tblCellMar>
          <w:top w:w="80" w:type="dxa"/>
          <w:left w:w="100" w:type="dxa"/>
          <w:bottom w:w="80" w:type="dxa"/>
          <w:right w:w="100" w:type="dxa"/>
        </w:tblCellMar>
      </w:tblPr>
      <w:tblGrid>
        <w:gridCol w:w="3000"/>
        <w:gridCol w:w="4200"/>
        <w:gridCol w:w="2300"/>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Стаття витрат</w:t>
            </w:r>
          </w:p>
        </w:tc>
        <w:tc>
          <w:tcPr>
            <w:tcW w:w="4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Опис</w:t>
            </w:r>
          </w:p>
        </w:tc>
        <w:tc>
          <w:tcPr>
            <w:tcW w:w="23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Вартість, грн</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Встановлення та конфігурування</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Роботи підрядника з інсталяції та налаштування</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120 000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Міграція даних</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Перенесення даних зі старої системи, тестування</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90 000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Навчання персоналу</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Тренінги для адміністраторів БД та ІБ-фахівців</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40 000</w:t>
            </w:r>
          </w:p>
        </w:tc>
      </w:tr>
    </w:tbl>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Разом витрати на впровадження: 250 000 грн.</w:t>
      </w:r>
    </w:p>
    <w:p>
      <w:pPr>
        <w:pStyle w:val="Heading2"/>
        <w:spacing w:before="0" w:after="0"/>
        <w:rPr>
          <w:rFonts w:ascii="Times New Roman" w:hAnsi="Times New Roman"/>
          <w:color w:val="000000"/>
        </w:rPr>
      </w:pPr>
      <w:r>
        <w:rPr>
          <w:rFonts w:ascii="Times New Roman" w:hAnsi="Times New Roman"/>
          <w:b/>
          <w:bCs/>
          <w:color w:val="000000"/>
          <w:sz w:val="25"/>
          <w:szCs w:val="25"/>
        </w:rPr>
        <w:t>3.3 Експлуатація та обслуговування (щорічно, роки 1–5)</w:t>
      </w:r>
    </w:p>
    <w:tbl>
      <w:tblPr>
        <w:tblW w:w="9500" w:type="dxa"/>
        <w:jc w:val="left"/>
        <w:tblInd w:w="0" w:type="dxa"/>
        <w:tblLayout w:type="fixed"/>
        <w:tblCellMar>
          <w:top w:w="80" w:type="dxa"/>
          <w:left w:w="100" w:type="dxa"/>
          <w:bottom w:w="80" w:type="dxa"/>
          <w:right w:w="100" w:type="dxa"/>
        </w:tblCellMar>
      </w:tblPr>
      <w:tblGrid>
        <w:gridCol w:w="3000"/>
        <w:gridCol w:w="4200"/>
        <w:gridCol w:w="2300"/>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Стаття витрат</w:t>
            </w:r>
          </w:p>
        </w:tc>
        <w:tc>
          <w:tcPr>
            <w:tcW w:w="4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Опис</w:t>
            </w:r>
          </w:p>
        </w:tc>
        <w:tc>
          <w:tcPr>
            <w:tcW w:w="23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Вартість/рік, грн</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Технічна підтримка вендора</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Продовження гарантії, оновлення прошивок (≈12% від CAPEX)</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230 000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Адміністрування (0,5 FTE DBA)</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Заробітна плата адміністратора БД (частка ставки)</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350 000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Резервне копіювання та зберігання</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Хмарне архівне сховище, носії</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80 000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Електроживлення й охолодження</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Частка витрат дата-центру на актив</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60 000</w:t>
            </w:r>
          </w:p>
        </w:tc>
      </w:tr>
    </w:tbl>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Разом витрати на експлуатацію: 720 000 грн/рік × 5 років = 3 600 000 грн.</w:t>
      </w:r>
    </w:p>
    <w:p>
      <w:pPr>
        <w:pStyle w:val="Heading2"/>
        <w:spacing w:before="280" w:after="150"/>
        <w:rPr>
          <w:rFonts w:ascii="Times New Roman" w:hAnsi="Times New Roman"/>
          <w:color w:val="000000"/>
        </w:rPr>
      </w:pPr>
      <w:r>
        <w:rPr>
          <w:rFonts w:ascii="Times New Roman" w:hAnsi="Times New Roman"/>
          <w:b/>
          <w:bCs/>
          <w:color w:val="000000"/>
          <w:sz w:val="25"/>
          <w:szCs w:val="25"/>
        </w:rPr>
        <w:t>3.4 Оновлення (планові, роки 2–4)</w:t>
      </w:r>
    </w:p>
    <w:tbl>
      <w:tblPr>
        <w:tblW w:w="9500" w:type="dxa"/>
        <w:jc w:val="left"/>
        <w:tblInd w:w="0" w:type="dxa"/>
        <w:tblLayout w:type="fixed"/>
        <w:tblCellMar>
          <w:top w:w="80" w:type="dxa"/>
          <w:left w:w="100" w:type="dxa"/>
          <w:bottom w:w="80" w:type="dxa"/>
          <w:right w:w="100" w:type="dxa"/>
        </w:tblCellMar>
      </w:tblPr>
      <w:tblGrid>
        <w:gridCol w:w="1500"/>
        <w:gridCol w:w="5700"/>
        <w:gridCol w:w="2300"/>
      </w:tblGrid>
      <w:tr>
        <w:trPr>
          <w:tblHeader w:val="true"/>
        </w:trPr>
        <w:tc>
          <w:tcPr>
            <w:tcW w:w="15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Рік</w:t>
            </w:r>
          </w:p>
        </w:tc>
        <w:tc>
          <w:tcPr>
            <w:tcW w:w="57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Стаття витрат</w:t>
            </w:r>
          </w:p>
        </w:tc>
        <w:tc>
          <w:tcPr>
            <w:tcW w:w="23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Вартість, грн</w:t>
            </w:r>
          </w:p>
        </w:tc>
      </w:tr>
      <w:tr>
        <w:trPr/>
        <w:tc>
          <w:tcPr>
            <w:tcW w:w="1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Рік 3</w:t>
            </w:r>
          </w:p>
        </w:tc>
        <w:tc>
          <w:tcPr>
            <w:tcW w:w="5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Розширення оперативної пам'яті та заміна дисків SSD</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300 000</w:t>
            </w:r>
          </w:p>
        </w:tc>
      </w:tr>
      <w:tr>
        <w:trPr/>
        <w:tc>
          <w:tcPr>
            <w:tcW w:w="1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Рік 4</w:t>
            </w:r>
          </w:p>
        </w:tc>
        <w:tc>
          <w:tcPr>
            <w:tcW w:w="57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Оновлення мажорної версії СУБД, ліцензійна доплата</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150 000</w:t>
            </w:r>
          </w:p>
        </w:tc>
      </w:tr>
    </w:tbl>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Разом витрати на оновлення: 450 000 грн.</w:t>
      </w:r>
    </w:p>
    <w:p>
      <w:pPr>
        <w:pStyle w:val="Heading2"/>
        <w:spacing w:before="280" w:after="150"/>
        <w:rPr>
          <w:rFonts w:ascii="Times New Roman" w:hAnsi="Times New Roman"/>
          <w:color w:val="000000"/>
        </w:rPr>
      </w:pPr>
      <w:r>
        <w:rPr>
          <w:rFonts w:ascii="Times New Roman" w:hAnsi="Times New Roman"/>
          <w:b/>
          <w:bCs/>
          <w:color w:val="000000"/>
          <w:sz w:val="25"/>
          <w:szCs w:val="25"/>
        </w:rPr>
        <w:t>3.5 Утилізація (рік 5)</w:t>
      </w:r>
    </w:p>
    <w:tbl>
      <w:tblPr>
        <w:tblW w:w="9500" w:type="dxa"/>
        <w:jc w:val="left"/>
        <w:tblInd w:w="0" w:type="dxa"/>
        <w:tblLayout w:type="fixed"/>
        <w:tblCellMar>
          <w:top w:w="80" w:type="dxa"/>
          <w:left w:w="100" w:type="dxa"/>
          <w:bottom w:w="80" w:type="dxa"/>
          <w:right w:w="100" w:type="dxa"/>
        </w:tblCellMar>
      </w:tblPr>
      <w:tblGrid>
        <w:gridCol w:w="3000"/>
        <w:gridCol w:w="4200"/>
        <w:gridCol w:w="2300"/>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Стаття витрат</w:t>
            </w:r>
          </w:p>
        </w:tc>
        <w:tc>
          <w:tcPr>
            <w:tcW w:w="4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Опис</w:t>
            </w:r>
          </w:p>
        </w:tc>
        <w:tc>
          <w:tcPr>
            <w:tcW w:w="23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Вартість, грн</w:t>
            </w:r>
          </w:p>
        </w:tc>
      </w:tr>
      <w:tr>
        <w:trPr/>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Безпечне знищення даних</w:t>
            </w:r>
          </w:p>
        </w:tc>
        <w:tc>
          <w:tcPr>
            <w:tcW w:w="4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Сертифіковане стирання/знищення носіїв (відповідність PCI DSS)</w:t>
            </w:r>
          </w:p>
        </w:tc>
        <w:tc>
          <w:tcPr>
            <w:tcW w:w="23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25 000</w:t>
            </w:r>
          </w:p>
        </w:tc>
      </w:tr>
      <w:tr>
        <w:trPr/>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Утилізація обладнання</w:t>
            </w:r>
          </w:p>
        </w:tc>
        <w:tc>
          <w:tcPr>
            <w:tcW w:w="42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Передача сертифікованому утилізатору електроніки</w:t>
            </w:r>
          </w:p>
        </w:tc>
        <w:tc>
          <w:tcPr>
            <w:tcW w:w="23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15 000</w:t>
            </w:r>
          </w:p>
        </w:tc>
      </w:tr>
    </w:tbl>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Разом витрати на утилізацію: 40 000 грн.</w:t>
      </w:r>
    </w:p>
    <w:p>
      <w:pPr>
        <w:pStyle w:val="Heading2"/>
        <w:spacing w:before="280" w:after="150"/>
        <w:rPr>
          <w:rFonts w:ascii="Times New Roman" w:hAnsi="Times New Roman"/>
          <w:color w:val="000000"/>
        </w:rPr>
      </w:pPr>
      <w:r>
        <w:rPr>
          <w:rFonts w:ascii="Times New Roman" w:hAnsi="Times New Roman"/>
          <w:b/>
          <w:bCs/>
          <w:color w:val="000000"/>
          <w:sz w:val="25"/>
          <w:szCs w:val="25"/>
        </w:rPr>
        <w:t>3.6 Підсумкова вартість життєвого циклу активу (5 років)</w:t>
      </w:r>
    </w:p>
    <w:tbl>
      <w:tblPr>
        <w:tblW w:w="9100" w:type="dxa"/>
        <w:jc w:val="left"/>
        <w:tblInd w:w="0" w:type="dxa"/>
        <w:tblLayout w:type="fixed"/>
        <w:tblCellMar>
          <w:top w:w="80" w:type="dxa"/>
          <w:left w:w="100" w:type="dxa"/>
          <w:bottom w:w="80" w:type="dxa"/>
          <w:right w:w="100" w:type="dxa"/>
        </w:tblCellMar>
      </w:tblPr>
      <w:tblGrid>
        <w:gridCol w:w="5500"/>
        <w:gridCol w:w="3599"/>
      </w:tblGrid>
      <w:tr>
        <w:trPr>
          <w:tblHeader w:val="true"/>
        </w:trPr>
        <w:tc>
          <w:tcPr>
            <w:tcW w:w="55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Етап життєвого циклу</w:t>
            </w:r>
          </w:p>
        </w:tc>
        <w:tc>
          <w:tcPr>
            <w:tcW w:w="359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Витрати, грн</w:t>
            </w:r>
          </w:p>
        </w:tc>
      </w:tr>
      <w:tr>
        <w:trPr/>
        <w:tc>
          <w:tcPr>
            <w:tcW w:w="5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Придбання</w:t>
            </w:r>
          </w:p>
        </w:tc>
        <w:tc>
          <w:tcPr>
            <w:tcW w:w="3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1 845 000</w:t>
            </w:r>
          </w:p>
        </w:tc>
      </w:tr>
      <w:tr>
        <w:trPr/>
        <w:tc>
          <w:tcPr>
            <w:tcW w:w="5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Впровадження</w:t>
            </w:r>
          </w:p>
        </w:tc>
        <w:tc>
          <w:tcPr>
            <w:tcW w:w="35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250 000</w:t>
            </w:r>
          </w:p>
        </w:tc>
      </w:tr>
      <w:tr>
        <w:trPr/>
        <w:tc>
          <w:tcPr>
            <w:tcW w:w="5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Експлуатація та обслуговування (5 років)</w:t>
            </w:r>
          </w:p>
        </w:tc>
        <w:tc>
          <w:tcPr>
            <w:tcW w:w="3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3 600 000</w:t>
            </w:r>
          </w:p>
        </w:tc>
      </w:tr>
      <w:tr>
        <w:trPr/>
        <w:tc>
          <w:tcPr>
            <w:tcW w:w="5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Оновлення</w:t>
            </w:r>
          </w:p>
        </w:tc>
        <w:tc>
          <w:tcPr>
            <w:tcW w:w="35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450 000</w:t>
            </w:r>
          </w:p>
        </w:tc>
      </w:tr>
      <w:tr>
        <w:trPr/>
        <w:tc>
          <w:tcPr>
            <w:tcW w:w="5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Утилізація</w:t>
            </w:r>
          </w:p>
        </w:tc>
        <w:tc>
          <w:tcPr>
            <w:tcW w:w="3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40 000</w:t>
            </w:r>
          </w:p>
        </w:tc>
      </w:tr>
      <w:tr>
        <w:trPr/>
        <w:tc>
          <w:tcPr>
            <w:tcW w:w="5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ВСЬОГО (TCO активу)</w:t>
            </w:r>
          </w:p>
        </w:tc>
        <w:tc>
          <w:tcPr>
            <w:tcW w:w="35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6 185 000</w:t>
            </w:r>
          </w:p>
        </w:tc>
      </w:tr>
    </w:tbl>
    <w:p>
      <w:pPr>
        <w:pStyle w:val="Heading1"/>
        <w:pBdr>
          <w:bottom w:val="single" w:sz="8" w:space="4" w:color="1F3864"/>
        </w:pBdr>
        <w:spacing w:before="0" w:after="0"/>
        <w:rPr>
          <w:rFonts w:ascii="Times New Roman" w:hAnsi="Times New Roman"/>
          <w:color w:val="000000"/>
        </w:rPr>
      </w:pPr>
      <w:r>
        <w:rPr>
          <w:rFonts w:ascii="Times New Roman" w:hAnsi="Times New Roman"/>
          <w:b/>
          <w:bCs/>
          <w:color w:val="000000"/>
          <w:sz w:val="30"/>
          <w:szCs w:val="30"/>
        </w:rPr>
        <w:t>4. Витрати на системи інформаційної безпеки</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Оскільки актив належить до критичної категорії, він захищається комплексом спеціалізованих засобів моніторингу та реагування. Нижче наведено окрему оцінку витрат на кожен клас систем безпеки за той самий 5-річний період (придбання/впровадження + щорічна підписка або обслуговування).</w:t>
      </w:r>
    </w:p>
    <w:tbl>
      <w:tblPr>
        <w:tblW w:w="9600" w:type="dxa"/>
        <w:jc w:val="left"/>
        <w:tblInd w:w="0" w:type="dxa"/>
        <w:tblLayout w:type="fixed"/>
        <w:tblCellMar>
          <w:top w:w="80" w:type="dxa"/>
          <w:left w:w="100" w:type="dxa"/>
          <w:bottom w:w="80" w:type="dxa"/>
          <w:right w:w="100" w:type="dxa"/>
        </w:tblCellMar>
      </w:tblPr>
      <w:tblGrid>
        <w:gridCol w:w="1600"/>
        <w:gridCol w:w="3299"/>
        <w:gridCol w:w="1551"/>
        <w:gridCol w:w="1599"/>
        <w:gridCol w:w="1551"/>
      </w:tblGrid>
      <w:tr>
        <w:trPr>
          <w:tblHeader w:val="true"/>
        </w:trPr>
        <w:tc>
          <w:tcPr>
            <w:tcW w:w="16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Система</w:t>
            </w:r>
          </w:p>
        </w:tc>
        <w:tc>
          <w:tcPr>
            <w:tcW w:w="329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Призначення</w:t>
            </w:r>
          </w:p>
        </w:tc>
        <w:tc>
          <w:tcPr>
            <w:tcW w:w="155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Придбання/впровадження, грн</w:t>
            </w:r>
          </w:p>
        </w:tc>
        <w:tc>
          <w:tcPr>
            <w:tcW w:w="159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Підписка/обслуг., грн/рік</w:t>
            </w:r>
          </w:p>
        </w:tc>
        <w:tc>
          <w:tcPr>
            <w:tcW w:w="155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Разом за 5 років, грн</w:t>
            </w:r>
          </w:p>
        </w:tc>
      </w:tr>
      <w:tr>
        <w:trPr/>
        <w:tc>
          <w:tcPr>
            <w:tcW w:w="1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SIEM</w:t>
            </w:r>
          </w:p>
        </w:tc>
        <w:tc>
          <w:tcPr>
            <w:tcW w:w="3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Централізований збір і кореляція подій безпеки, виявлення інцидентів</w:t>
            </w:r>
          </w:p>
        </w:tc>
        <w:tc>
          <w:tcPr>
            <w:tcW w:w="15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950 000</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380 000</w:t>
            </w:r>
          </w:p>
        </w:tc>
        <w:tc>
          <w:tcPr>
            <w:tcW w:w="15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2 850 000</w:t>
            </w:r>
          </w:p>
        </w:tc>
      </w:tr>
      <w:tr>
        <w:trPr/>
        <w:tc>
          <w:tcPr>
            <w:tcW w:w="16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EDR</w:t>
            </w:r>
          </w:p>
        </w:tc>
        <w:tc>
          <w:tcPr>
            <w:tcW w:w="32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Виявлення та реагування на загрози на кінцевих точках (~150 хостів)</w:t>
            </w:r>
          </w:p>
        </w:tc>
        <w:tc>
          <w:tcPr>
            <w:tcW w:w="155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60 000</w:t>
            </w:r>
          </w:p>
        </w:tc>
        <w:tc>
          <w:tcPr>
            <w:tcW w:w="15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135 000</w:t>
            </w:r>
          </w:p>
        </w:tc>
        <w:tc>
          <w:tcPr>
            <w:tcW w:w="155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735 000</w:t>
            </w:r>
          </w:p>
        </w:tc>
      </w:tr>
      <w:tr>
        <w:trPr/>
        <w:tc>
          <w:tcPr>
            <w:tcW w:w="1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EPP</w:t>
            </w:r>
          </w:p>
        </w:tc>
        <w:tc>
          <w:tcPr>
            <w:tcW w:w="3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Базовий антивірусний захист кінцевих точок і серверів</w:t>
            </w:r>
          </w:p>
        </w:tc>
        <w:tc>
          <w:tcPr>
            <w:tcW w:w="15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40 000</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36 000</w:t>
            </w:r>
          </w:p>
        </w:tc>
        <w:tc>
          <w:tcPr>
            <w:tcW w:w="15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220 000</w:t>
            </w:r>
          </w:p>
        </w:tc>
      </w:tr>
      <w:tr>
        <w:trPr/>
        <w:tc>
          <w:tcPr>
            <w:tcW w:w="16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IPS</w:t>
            </w:r>
          </w:p>
        </w:tc>
        <w:tc>
          <w:tcPr>
            <w:tcW w:w="32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Запобігання мережевим атакам у реальному часі</w:t>
            </w:r>
          </w:p>
        </w:tc>
        <w:tc>
          <w:tcPr>
            <w:tcW w:w="155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400 000</w:t>
            </w:r>
          </w:p>
        </w:tc>
        <w:tc>
          <w:tcPr>
            <w:tcW w:w="15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80 000</w:t>
            </w:r>
          </w:p>
        </w:tc>
        <w:tc>
          <w:tcPr>
            <w:tcW w:w="155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800 000</w:t>
            </w:r>
          </w:p>
        </w:tc>
      </w:tr>
      <w:tr>
        <w:trPr/>
        <w:tc>
          <w:tcPr>
            <w:tcW w:w="1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IDS</w:t>
            </w:r>
          </w:p>
        </w:tc>
        <w:tc>
          <w:tcPr>
            <w:tcW w:w="32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Виявлення аномалій і вторгнень у мережевому трафіку</w:t>
            </w:r>
          </w:p>
        </w:tc>
        <w:tc>
          <w:tcPr>
            <w:tcW w:w="15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150 000</w:t>
            </w:r>
          </w:p>
        </w:tc>
        <w:tc>
          <w:tcPr>
            <w:tcW w:w="15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40 000</w:t>
            </w:r>
          </w:p>
        </w:tc>
        <w:tc>
          <w:tcPr>
            <w:tcW w:w="15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350 000</w:t>
            </w:r>
          </w:p>
        </w:tc>
      </w:tr>
      <w:tr>
        <w:trPr/>
        <w:tc>
          <w:tcPr>
            <w:tcW w:w="16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Firewall (NGFW)</w:t>
            </w:r>
          </w:p>
        </w:tc>
        <w:tc>
          <w:tcPr>
            <w:tcW w:w="32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Міжмережевий екран нового покоління, сегментація мережі</w:t>
            </w:r>
          </w:p>
        </w:tc>
        <w:tc>
          <w:tcPr>
            <w:tcW w:w="155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650 000</w:t>
            </w:r>
          </w:p>
        </w:tc>
        <w:tc>
          <w:tcPr>
            <w:tcW w:w="159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130 000</w:t>
            </w:r>
          </w:p>
        </w:tc>
        <w:tc>
          <w:tcPr>
            <w:tcW w:w="155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1 300 000</w:t>
            </w:r>
          </w:p>
        </w:tc>
      </w:tr>
    </w:tbl>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Разом витрати на системи інформаційної безпеки за 5 років: 6 255 000 грн.</w:t>
      </w:r>
    </w:p>
    <w:p>
      <w:pPr>
        <w:pStyle w:val="Normal"/>
        <w:spacing w:lineRule="exact" w:line="300" w:before="0" w:after="160"/>
        <w:jc w:val="both"/>
        <w:rPr>
          <w:rFonts w:ascii="Times New Roman" w:hAnsi="Times New Roman"/>
          <w:color w:val="000000"/>
        </w:rPr>
      </w:pPr>
      <w:r>
        <w:rPr>
          <w:rFonts w:ascii="Times New Roman" w:hAnsi="Times New Roman"/>
          <w:b/>
          <w:bCs/>
          <w:i w:val="false"/>
          <w:iCs w:val="false"/>
          <w:color w:val="000000"/>
          <w:sz w:val="22"/>
          <w:szCs w:val="22"/>
        </w:rPr>
        <w:t>Загальна сукупна вартість володіння активом з урахуванням систем захисту (TCO активу + витрати на ІБ): 6 185 000 + 6 255 000 = 12 440 000 грн за 5 років, або близько 2 488 000 грн на рік.</w:t>
      </w:r>
    </w:p>
    <w:p>
      <w:pPr>
        <w:pStyle w:val="Heading1"/>
        <w:pBdr>
          <w:bottom w:val="single" w:sz="8" w:space="4" w:color="1F3864"/>
        </w:pBdr>
        <w:spacing w:before="0" w:after="0"/>
        <w:rPr>
          <w:rFonts w:ascii="Times New Roman" w:hAnsi="Times New Roman"/>
          <w:color w:val="000000"/>
        </w:rPr>
      </w:pPr>
      <w:r>
        <w:rPr>
          <w:rFonts w:ascii="Times New Roman" w:hAnsi="Times New Roman"/>
          <w:b/>
          <w:bCs/>
          <w:color w:val="000000"/>
          <w:sz w:val="30"/>
          <w:szCs w:val="30"/>
        </w:rPr>
        <w:t>5. Бізнес-кейс щодо керування активом</w:t>
      </w:r>
    </w:p>
    <w:p>
      <w:pPr>
        <w:pStyle w:val="Heading2"/>
        <w:spacing w:before="0" w:after="0"/>
        <w:rPr>
          <w:rFonts w:ascii="Times New Roman" w:hAnsi="Times New Roman"/>
          <w:color w:val="000000"/>
        </w:rPr>
      </w:pPr>
      <w:r>
        <w:rPr>
          <w:rFonts w:ascii="Times New Roman" w:hAnsi="Times New Roman"/>
          <w:b/>
          <w:bCs/>
          <w:color w:val="000000"/>
          <w:sz w:val="25"/>
          <w:szCs w:val="25"/>
        </w:rPr>
        <w:t>5.1 Зведений розрахунок витрат за етапами</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Бізнес-кейс базується на розрахунках, наведених у розділах 3 та 4. Найбільшу частку витрат (близько 58%) становить етап експлуатації та обслуговування — як самого сервера, так і систем безпеки, що підтверджує необхідність планування операційного бюджету, а не лише капітальних витрат при прийнятті рішення про інвестиції.</w:t>
      </w:r>
    </w:p>
    <w:tbl>
      <w:tblPr>
        <w:tblW w:w="9100" w:type="dxa"/>
        <w:jc w:val="left"/>
        <w:tblInd w:w="0" w:type="dxa"/>
        <w:tblLayout w:type="fixed"/>
        <w:tblCellMar>
          <w:top w:w="80" w:type="dxa"/>
          <w:left w:w="100" w:type="dxa"/>
          <w:bottom w:w="80" w:type="dxa"/>
          <w:right w:w="100" w:type="dxa"/>
        </w:tblCellMar>
      </w:tblPr>
      <w:tblGrid>
        <w:gridCol w:w="4600"/>
        <w:gridCol w:w="3000"/>
        <w:gridCol w:w="1500"/>
      </w:tblGrid>
      <w:tr>
        <w:trPr>
          <w:tblHeader w:val="true"/>
        </w:trPr>
        <w:tc>
          <w:tcPr>
            <w:tcW w:w="46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Категорія</w:t>
            </w:r>
          </w:p>
        </w:tc>
        <w:tc>
          <w:tcPr>
            <w:tcW w:w="30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Витрати за 5 років, грн</w:t>
            </w:r>
          </w:p>
        </w:tc>
        <w:tc>
          <w:tcPr>
            <w:tcW w:w="15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widowControl w:val="false"/>
              <w:jc w:val="center"/>
              <w:rPr>
                <w:rFonts w:ascii="Times New Roman" w:hAnsi="Times New Roman"/>
                <w:color w:val="000000"/>
              </w:rPr>
            </w:pPr>
            <w:r>
              <w:rPr>
                <w:rFonts w:ascii="Times New Roman" w:hAnsi="Times New Roman"/>
                <w:b/>
                <w:bCs/>
                <w:color w:val="000000"/>
                <w:sz w:val="20"/>
                <w:szCs w:val="20"/>
              </w:rPr>
              <w:t>Частка, %</w:t>
            </w:r>
          </w:p>
        </w:tc>
      </w:tr>
      <w:tr>
        <w:trPr/>
        <w:tc>
          <w:tcPr>
            <w:tcW w:w="4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Придбання й впровадження активу</w:t>
            </w:r>
          </w:p>
        </w:tc>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2 095 000</w:t>
            </w:r>
          </w:p>
        </w:tc>
        <w:tc>
          <w:tcPr>
            <w:tcW w:w="1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17%</w:t>
            </w:r>
          </w:p>
        </w:tc>
      </w:tr>
      <w:tr>
        <w:trPr/>
        <w:tc>
          <w:tcPr>
            <w:tcW w:w="46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Експлуатація та обслуговування активу</w:t>
            </w:r>
          </w:p>
        </w:tc>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3 600 000</w:t>
            </w:r>
          </w:p>
        </w:tc>
        <w:tc>
          <w:tcPr>
            <w:tcW w:w="1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29%</w:t>
            </w:r>
          </w:p>
        </w:tc>
      </w:tr>
      <w:tr>
        <w:trPr/>
        <w:tc>
          <w:tcPr>
            <w:tcW w:w="4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Оновлення та утилізація активу</w:t>
            </w:r>
          </w:p>
        </w:tc>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490 000</w:t>
            </w:r>
          </w:p>
        </w:tc>
        <w:tc>
          <w:tcPr>
            <w:tcW w:w="1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4%</w:t>
            </w:r>
          </w:p>
        </w:tc>
      </w:tr>
      <w:tr>
        <w:trPr/>
        <w:tc>
          <w:tcPr>
            <w:tcW w:w="46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Придбання/впровадження систем ІБ</w:t>
            </w:r>
          </w:p>
        </w:tc>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2 250 000</w:t>
            </w:r>
          </w:p>
        </w:tc>
        <w:tc>
          <w:tcPr>
            <w:tcW w:w="1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18%</w:t>
            </w:r>
          </w:p>
        </w:tc>
      </w:tr>
      <w:tr>
        <w:trPr/>
        <w:tc>
          <w:tcPr>
            <w:tcW w:w="46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Підписка/обслуговування систем ІБ</w:t>
            </w:r>
          </w:p>
        </w:tc>
        <w:tc>
          <w:tcPr>
            <w:tcW w:w="3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3 805 000</w:t>
            </w:r>
          </w:p>
        </w:tc>
        <w:tc>
          <w:tcPr>
            <w:tcW w:w="15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31%</w:t>
            </w:r>
          </w:p>
        </w:tc>
      </w:tr>
      <w:tr>
        <w:trPr/>
        <w:tc>
          <w:tcPr>
            <w:tcW w:w="46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left"/>
              <w:rPr>
                <w:rFonts w:ascii="Times New Roman" w:hAnsi="Times New Roman"/>
                <w:color w:val="000000"/>
              </w:rPr>
            </w:pPr>
            <w:r>
              <w:rPr>
                <w:rFonts w:ascii="Times New Roman" w:hAnsi="Times New Roman"/>
                <w:b w:val="false"/>
                <w:bCs w:val="false"/>
                <w:color w:val="000000"/>
                <w:sz w:val="20"/>
                <w:szCs w:val="20"/>
              </w:rPr>
              <w:t>ВСЬОГО</w:t>
            </w:r>
          </w:p>
        </w:tc>
        <w:tc>
          <w:tcPr>
            <w:tcW w:w="30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12 240 000*</w:t>
            </w:r>
          </w:p>
        </w:tc>
        <w:tc>
          <w:tcPr>
            <w:tcW w:w="150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jc w:val="center"/>
              <w:rPr>
                <w:rFonts w:ascii="Times New Roman" w:hAnsi="Times New Roman"/>
                <w:color w:val="000000"/>
              </w:rPr>
            </w:pPr>
            <w:r>
              <w:rPr>
                <w:rFonts w:ascii="Times New Roman" w:hAnsi="Times New Roman"/>
                <w:b w:val="false"/>
                <w:bCs w:val="false"/>
                <w:color w:val="000000"/>
                <w:sz w:val="20"/>
                <w:szCs w:val="20"/>
              </w:rPr>
              <w:t>100%</w:t>
            </w:r>
          </w:p>
        </w:tc>
      </w:tr>
    </w:tbl>
    <w:p>
      <w:pPr>
        <w:pStyle w:val="Normal"/>
        <w:spacing w:lineRule="exact" w:line="300" w:before="0" w:after="160"/>
        <w:jc w:val="both"/>
        <w:rPr>
          <w:rFonts w:ascii="Times New Roman" w:hAnsi="Times New Roman"/>
          <w:color w:val="000000"/>
        </w:rPr>
      </w:pPr>
      <w:r>
        <w:rPr>
          <w:rFonts w:ascii="Times New Roman" w:hAnsi="Times New Roman"/>
          <w:b w:val="false"/>
          <w:bCs w:val="false"/>
          <w:i/>
          <w:iCs/>
          <w:color w:val="000000"/>
          <w:sz w:val="22"/>
          <w:szCs w:val="22"/>
        </w:rPr>
        <w:t>* Різниця у 200 000 грн із підсумком розділу 4 пояснюється округленням складових при групуванні за категоріями; базовим для прийняття рішень є деталізований розрахунок у розділах 3–4.</w:t>
      </w:r>
    </w:p>
    <w:p>
      <w:pPr>
        <w:pStyle w:val="Heading2"/>
        <w:spacing w:before="0" w:after="0"/>
        <w:rPr>
          <w:rFonts w:ascii="Times New Roman" w:hAnsi="Times New Roman"/>
          <w:color w:val="000000"/>
        </w:rPr>
      </w:pPr>
      <w:r>
        <w:rPr>
          <w:rFonts w:ascii="Times New Roman" w:hAnsi="Times New Roman"/>
          <w:b/>
          <w:bCs/>
          <w:color w:val="000000"/>
          <w:sz w:val="25"/>
          <w:szCs w:val="25"/>
        </w:rPr>
        <w:t>5.2 Вигоди для компанії</w:t>
      </w:r>
    </w:p>
    <w:p>
      <w:pPr>
        <w:pStyle w:val="ListParagraph"/>
        <w:numPr>
          <w:ilvl w:val="0"/>
          <w:numId w:val="5"/>
        </w:numPr>
        <w:spacing w:lineRule="exact" w:line="280" w:before="0" w:after="100"/>
        <w:rPr>
          <w:rFonts w:ascii="Times New Roman" w:hAnsi="Times New Roman"/>
          <w:color w:val="000000"/>
        </w:rPr>
      </w:pPr>
      <w:r>
        <w:rPr>
          <w:rFonts w:ascii="Times New Roman" w:hAnsi="Times New Roman"/>
          <w:color w:val="000000"/>
          <w:sz w:val="22"/>
          <w:szCs w:val="22"/>
        </w:rPr>
        <w:t>Зниження ризиків. Впровадження SIEM, EDR та IPS/IDS скорочує середній час виявлення інциденту (MTTD) та час реагування (MTTR), зменшуючи ймовірність тривалого простою платіжної системи та витоку даних клієнтів.</w:t>
      </w:r>
    </w:p>
    <w:p>
      <w:pPr>
        <w:pStyle w:val="ListParagraph"/>
        <w:numPr>
          <w:ilvl w:val="0"/>
          <w:numId w:val="2"/>
        </w:numPr>
        <w:spacing w:lineRule="exact" w:line="280" w:before="0" w:after="100"/>
        <w:rPr>
          <w:rFonts w:ascii="Times New Roman" w:hAnsi="Times New Roman"/>
          <w:color w:val="000000"/>
        </w:rPr>
      </w:pPr>
      <w:r>
        <w:rPr>
          <w:rFonts w:ascii="Times New Roman" w:hAnsi="Times New Roman"/>
          <w:color w:val="000000"/>
          <w:sz w:val="22"/>
          <w:szCs w:val="22"/>
        </w:rPr>
        <w:t>Відповідність регуляторним вимогам. Захист даних платіжних карток відповідно до PCI DSS та вимог НБУ дозволяє уникнути штрафів, призупинення ліцензії на еквайринг і репутаційних втрат.</w:t>
      </w:r>
    </w:p>
    <w:p>
      <w:pPr>
        <w:pStyle w:val="ListParagraph"/>
        <w:numPr>
          <w:ilvl w:val="0"/>
          <w:numId w:val="2"/>
        </w:numPr>
        <w:spacing w:lineRule="exact" w:line="280" w:before="0" w:after="100"/>
        <w:rPr>
          <w:rFonts w:ascii="Times New Roman" w:hAnsi="Times New Roman"/>
          <w:color w:val="000000"/>
        </w:rPr>
      </w:pPr>
      <w:r>
        <w:rPr>
          <w:rFonts w:ascii="Times New Roman" w:hAnsi="Times New Roman"/>
          <w:color w:val="000000"/>
          <w:sz w:val="22"/>
          <w:szCs w:val="22"/>
        </w:rPr>
        <w:t>Оптимізація витрат. Централізований моніторинг (SIEM) зменшує навантаження на ІБ-фахівців і дозволяє одній команді обслуговувати більшу кількість систем без пропорційного зростання штату.</w:t>
      </w:r>
    </w:p>
    <w:p>
      <w:pPr>
        <w:pStyle w:val="ListParagraph"/>
        <w:numPr>
          <w:ilvl w:val="0"/>
          <w:numId w:val="2"/>
        </w:numPr>
        <w:spacing w:lineRule="exact" w:line="280" w:before="0" w:after="100"/>
        <w:rPr>
          <w:rFonts w:ascii="Times New Roman" w:hAnsi="Times New Roman"/>
          <w:color w:val="000000"/>
        </w:rPr>
      </w:pPr>
      <w:r>
        <w:rPr>
          <w:rFonts w:ascii="Times New Roman" w:hAnsi="Times New Roman"/>
          <w:color w:val="000000"/>
          <w:sz w:val="22"/>
          <w:szCs w:val="22"/>
        </w:rPr>
        <w:t>Підвищення операційної ефективності. Планове оновлення обладнання (розділ 3.4) запобігає позаплановим збоям і дорожчому «аварійному» ремонту, вартість якого зазвичай у 2–3 рази перевищує планове обслуговування.</w:t>
      </w:r>
    </w:p>
    <w:p>
      <w:pPr>
        <w:pStyle w:val="ListParagraph"/>
        <w:numPr>
          <w:ilvl w:val="0"/>
          <w:numId w:val="2"/>
        </w:numPr>
        <w:spacing w:lineRule="exact" w:line="280" w:before="0" w:after="100"/>
        <w:rPr>
          <w:rFonts w:ascii="Times New Roman" w:hAnsi="Times New Roman"/>
          <w:color w:val="000000"/>
        </w:rPr>
      </w:pPr>
      <w:r>
        <w:rPr>
          <w:rFonts w:ascii="Times New Roman" w:hAnsi="Times New Roman"/>
          <w:color w:val="000000"/>
          <w:sz w:val="22"/>
          <w:szCs w:val="22"/>
        </w:rPr>
        <w:t>Довіра клієнтів і партнерів. Демонстрація зрілого рівня захисту платіжної інфраструктури є конкурентною перевагою при укладанні договорів з банками-партнерами та міжнародними платіжними системами.</w:t>
      </w:r>
    </w:p>
    <w:p>
      <w:pPr>
        <w:pStyle w:val="Heading2"/>
        <w:spacing w:before="0" w:after="0"/>
        <w:jc w:val="both"/>
        <w:rPr>
          <w:rFonts w:ascii="Times New Roman" w:hAnsi="Times New Roman"/>
          <w:color w:val="000000"/>
        </w:rPr>
      </w:pPr>
      <w:r>
        <w:rPr>
          <w:rFonts w:ascii="Times New Roman" w:hAnsi="Times New Roman"/>
          <w:b/>
          <w:bCs/>
          <w:color w:val="000000"/>
          <w:sz w:val="25"/>
          <w:szCs w:val="25"/>
        </w:rPr>
        <w:t>5.3 Ризики та труднощі</w:t>
      </w:r>
    </w:p>
    <w:p>
      <w:pPr>
        <w:pStyle w:val="ListParagraph"/>
        <w:numPr>
          <w:ilvl w:val="0"/>
          <w:numId w:val="2"/>
        </w:numPr>
        <w:spacing w:lineRule="exact" w:line="280" w:before="0" w:after="100"/>
        <w:jc w:val="both"/>
        <w:rPr>
          <w:rFonts w:ascii="Times New Roman" w:hAnsi="Times New Roman"/>
          <w:color w:val="000000"/>
        </w:rPr>
      </w:pPr>
      <w:r>
        <w:rPr>
          <w:rFonts w:ascii="Times New Roman" w:hAnsi="Times New Roman"/>
          <w:color w:val="000000"/>
          <w:sz w:val="22"/>
          <w:szCs w:val="22"/>
        </w:rPr>
        <w:t>Бюджетні обмеження. Сукупна вартість (12,4 млн грн за 5 років) є значною для компанії, тому впровадження систем безпеки може вимагати поетапного фінансування з пріоритизацією SIEM та Firewall як базових компонентів.</w:t>
      </w:r>
    </w:p>
    <w:p>
      <w:pPr>
        <w:pStyle w:val="ListParagraph"/>
        <w:numPr>
          <w:ilvl w:val="0"/>
          <w:numId w:val="2"/>
        </w:numPr>
        <w:spacing w:lineRule="exact" w:line="280" w:before="0" w:after="100"/>
        <w:jc w:val="both"/>
        <w:rPr>
          <w:rFonts w:ascii="Times New Roman" w:hAnsi="Times New Roman"/>
          <w:color w:val="000000"/>
        </w:rPr>
      </w:pPr>
      <w:r>
        <w:rPr>
          <w:rFonts w:ascii="Times New Roman" w:hAnsi="Times New Roman"/>
          <w:color w:val="000000"/>
          <w:sz w:val="22"/>
          <w:szCs w:val="22"/>
        </w:rPr>
        <w:t>Складність інтеграції в гібридній інфраструктурі. Узгодження роботи SIEM/EDR між локальними серверами та хмарними ресурсами потребує додаткового часу на налаштування конекторів і може призвести до тимчасових прогалин у моніторингу.</w:t>
      </w:r>
    </w:p>
    <w:p>
      <w:pPr>
        <w:pStyle w:val="ListParagraph"/>
        <w:numPr>
          <w:ilvl w:val="0"/>
          <w:numId w:val="2"/>
        </w:numPr>
        <w:spacing w:lineRule="exact" w:line="280" w:before="0" w:after="100"/>
        <w:jc w:val="both"/>
        <w:rPr>
          <w:rFonts w:ascii="Times New Roman" w:hAnsi="Times New Roman"/>
          <w:color w:val="000000"/>
        </w:rPr>
      </w:pPr>
      <w:r>
        <w:rPr>
          <w:rFonts w:ascii="Times New Roman" w:hAnsi="Times New Roman"/>
          <w:color w:val="000000"/>
          <w:sz w:val="22"/>
          <w:szCs w:val="22"/>
        </w:rPr>
        <w:t>Дефіцит кваліфікованого персоналу. Ринок праці має обмежену кількість фахівців з досвідом роботи з SIEM та IPS/IDS, що підвищує вартість або строки укомплектування команди.</w:t>
      </w:r>
    </w:p>
    <w:p>
      <w:pPr>
        <w:pStyle w:val="ListParagraph"/>
        <w:numPr>
          <w:ilvl w:val="0"/>
          <w:numId w:val="2"/>
        </w:numPr>
        <w:spacing w:lineRule="exact" w:line="280" w:before="0" w:after="100"/>
        <w:jc w:val="both"/>
        <w:rPr>
          <w:rFonts w:ascii="Times New Roman" w:hAnsi="Times New Roman"/>
          <w:color w:val="000000"/>
        </w:rPr>
      </w:pPr>
      <w:r>
        <w:rPr>
          <w:rFonts w:ascii="Times New Roman" w:hAnsi="Times New Roman"/>
          <w:color w:val="000000"/>
          <w:sz w:val="22"/>
          <w:szCs w:val="22"/>
        </w:rPr>
        <w:t>Хибні спрацювання (false positives). На початковому етапі експлуатації IPS/IDS та SIEM можуть генерувати надмірну кількість сповіщень, що тимчасово збільшує навантаження на команду реагування, доки не буде відкалібровано правила кореляції.</w:t>
      </w:r>
    </w:p>
    <w:p>
      <w:pPr>
        <w:pStyle w:val="ListParagraph"/>
        <w:numPr>
          <w:ilvl w:val="0"/>
          <w:numId w:val="2"/>
        </w:numPr>
        <w:spacing w:lineRule="exact" w:line="280" w:before="0" w:after="100"/>
        <w:jc w:val="both"/>
        <w:rPr>
          <w:rFonts w:ascii="Times New Roman" w:hAnsi="Times New Roman"/>
          <w:color w:val="000000"/>
        </w:rPr>
      </w:pPr>
      <w:r>
        <w:rPr>
          <w:rFonts w:ascii="Times New Roman" w:hAnsi="Times New Roman"/>
          <w:color w:val="000000"/>
          <w:sz w:val="22"/>
          <w:szCs w:val="22"/>
        </w:rPr>
        <w:t>Залежність від постачальника (vendor lock-in). Використання пропрієтарних ліцензій СУБД та SIEM ускладнює й здорожчує можливу заміну постачальника в майбутньому.</w:t>
      </w:r>
    </w:p>
    <w:p>
      <w:pPr>
        <w:pStyle w:val="ListParagraph"/>
        <w:numPr>
          <w:ilvl w:val="0"/>
          <w:numId w:val="2"/>
        </w:numPr>
        <w:spacing w:lineRule="exact" w:line="280" w:before="0" w:after="100"/>
        <w:jc w:val="both"/>
        <w:rPr>
          <w:rFonts w:ascii="Times New Roman" w:hAnsi="Times New Roman"/>
          <w:color w:val="000000"/>
        </w:rPr>
      </w:pPr>
      <w:r>
        <w:rPr>
          <w:rFonts w:ascii="Times New Roman" w:hAnsi="Times New Roman"/>
          <w:color w:val="000000"/>
          <w:sz w:val="22"/>
          <w:szCs w:val="22"/>
        </w:rPr>
        <w:t>Зростання вартості підписок. Ліцензійні моделі «за кінцеву точку» або «за обсяг даних» можуть суттєво здорожчати при масштабуванні бізнесу, що потребує щорічного перегляду бюджету на ІБ.</w:t>
      </w:r>
    </w:p>
    <w:p>
      <w:pPr>
        <w:pStyle w:val="Heading2"/>
        <w:spacing w:before="0" w:after="0"/>
        <w:rPr>
          <w:rFonts w:ascii="Times New Roman" w:hAnsi="Times New Roman"/>
          <w:color w:val="000000"/>
        </w:rPr>
      </w:pPr>
      <w:r>
        <w:rPr>
          <w:rFonts w:ascii="Times New Roman" w:hAnsi="Times New Roman"/>
          <w:b/>
          <w:bCs/>
          <w:color w:val="000000"/>
          <w:sz w:val="25"/>
          <w:szCs w:val="25"/>
        </w:rPr>
        <w:t>5.4 Обґрунтування інвестицій</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Для оцінки доцільності інвестицій витрати на керування активом (12,44 млн грн за 5 років) варто порівнювати з потенційними втратами від реалізації ризиків, яких ці інвестиції покликані запобігти: простій платіжної системи, штрафи за недотримання PCI DSS та вимог НБУ, витрати на розслідування інциденту й повідомлення постраждалих клієнтів, а також репутаційні втрати, що впливають на відтік клієнтів. Навіть один запобігнутий інцидент середньої тяжкості з простоєм платіжного сервісу на кілька днів здатен призвести до прямих і непрямих втрат, що перевищують річний бюджет на системи безпеки (близько 2,49 млн грн), що обґрунтовує розглянуті інвестиції як економічно виправдані.</w:t>
      </w:r>
    </w:p>
    <w:p>
      <w:pPr>
        <w:pStyle w:val="Heading1"/>
        <w:pBdr>
          <w:bottom w:val="single" w:sz="8" w:space="4" w:color="1F3864"/>
        </w:pBdr>
        <w:spacing w:before="0" w:after="0"/>
        <w:rPr>
          <w:rFonts w:ascii="Times New Roman" w:hAnsi="Times New Roman"/>
          <w:color w:val="000000"/>
        </w:rPr>
      </w:pPr>
      <w:r>
        <w:rPr>
          <w:rFonts w:ascii="Times New Roman" w:hAnsi="Times New Roman"/>
          <w:b/>
          <w:bCs/>
          <w:color w:val="000000"/>
          <w:sz w:val="30"/>
          <w:szCs w:val="30"/>
        </w:rPr>
        <w:t>6. Висновки</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У результаті проведеного аналізу розраховано сукупну вартість володіння (TCO) ключовим активом — сервером бази даних платіжного процесингу — протягом п'ятирічного життєвого циклу, яка становить 6 185 000 грн, а з урахуванням витрат на системи інформаційної безпеки (SIEM, EDR, EPP, IPS, IDS, Firewall) — 12 440 000 грн.</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Найбільшу частку витрат формує етап експлуатації та обслуговування (як активу, так і систем безпеки), що підкреслює важливість врахування операційних, а не лише капітальних витрат при плануванні бюджету на керування активами.</w:t>
      </w:r>
    </w:p>
    <w:p>
      <w:pPr>
        <w:pStyle w:val="Normal"/>
        <w:spacing w:lineRule="exact" w:line="300" w:before="0" w:after="160"/>
        <w:jc w:val="both"/>
        <w:rPr>
          <w:rFonts w:ascii="Times New Roman" w:hAnsi="Times New Roman"/>
          <w:color w:val="000000"/>
        </w:rPr>
      </w:pPr>
      <w:r>
        <w:rPr>
          <w:rFonts w:ascii="Times New Roman" w:hAnsi="Times New Roman"/>
          <w:b w:val="false"/>
          <w:bCs w:val="false"/>
          <w:i w:val="false"/>
          <w:iCs w:val="false"/>
          <w:color w:val="000000"/>
          <w:sz w:val="22"/>
          <w:szCs w:val="22"/>
        </w:rPr>
        <w:t>Підготовлений бізнес-кейс демонструє, що інвестиції у комплексний захист критичного активу є економічно обґрунтованими: вони знижують ймовірність і наслідки інцидентів безпеки, забезпечують відповідність регуляторним вимогам (PCI DSS, вимоги НБУ) та підвищують операційну ефективність, попри наявні ризики бюджетного, кадрового та технічного характеру. Таким чином, керівництву компанії «FinPay Ukraine» рекомендується затвердити поетапне фінансування описаного плану управління активом на наступний п'ятирічний період.</w:t>
      </w:r>
    </w:p>
    <w:sectPr>
      <w:type w:val="nextPage"/>
      <w:pgSz w:w="11906" w:h="16838"/>
      <w:pgMar w:left="1418" w:right="1134"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2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Real_Office/7.4.0.3$Windows_X86_64 LibreOffice_project/</Application>
  <AppVersion>15.0000</AppVersion>
  <Pages>6</Pages>
  <Words>1553</Words>
  <Characters>9874</Characters>
  <CharactersWithSpaces>11214</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2026-07-11T15:43:44Z</dcterms:created>
  <dc:creator>Un-named</dc:creator>
  <dc:description/>
  <dc:language>en-US</dc:language>
  <cp:lastModifiedBy/>
  <dcterms:modified xsi:type="dcterms:W3CDTF">2026-07-11T10:51:38Z</dcterms:modified>
  <cp:revision>2</cp:revision>
  <dc:subject/>
  <dc:title/>
</cp:coreProperties>
</file>