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240"/>
        <w:jc w:val="center"/>
        <w:rPr>
          <w:rFonts w:ascii="Times New Roman" w:hAnsi="Times New Roman"/>
          <w:color w:val="2A6099"/>
        </w:rPr>
      </w:pPr>
      <w:r>
        <w:rPr>
          <w:rFonts w:eastAsia="Arial" w:cs="Arial" w:ascii="Times New Roman" w:hAnsi="Times New Roman"/>
          <w:b/>
          <w:bCs/>
          <w:color w:val="2A6099"/>
        </w:rPr>
        <w:t>Матриця RACI</w:t>
      </w:r>
    </w:p>
    <w:p>
      <w:pPr>
        <w:pStyle w:val="Normal"/>
        <w:spacing w:before="0" w:after="200"/>
        <w:jc w:val="center"/>
        <w:rPr>
          <w:rFonts w:ascii="Times New Roman" w:hAnsi="Times New Roman"/>
          <w:color w:val="000000"/>
        </w:rPr>
      </w:pPr>
      <w:r>
        <w:rPr>
          <w:rFonts w:eastAsia="Arial" w:cs="Arial" w:ascii="Times New Roman" w:hAnsi="Times New Roman"/>
          <w:color w:val="000000"/>
          <w:sz w:val="22"/>
          <w:szCs w:val="22"/>
        </w:rPr>
        <w:t>Розподіл відповідальності за заходи контролю | Кейс: Банк (витік конфіденційних даних)</w:t>
      </w:r>
    </w:p>
    <w:p>
      <w:pPr>
        <w:pStyle w:val="Heading2"/>
        <w:spacing w:before="0" w:after="0"/>
        <w:rPr>
          <w:rFonts w:ascii="Times New Roman" w:hAnsi="Times New Roman"/>
          <w:color w:val="2A6099"/>
        </w:rPr>
      </w:pPr>
      <w:r>
        <w:rPr>
          <w:rFonts w:eastAsia="Arial" w:cs="Arial" w:ascii="Times New Roman" w:hAnsi="Times New Roman"/>
          <w:color w:val="2A6099"/>
        </w:rPr>
        <w:t>1. Вступ</w:t>
      </w:r>
    </w:p>
    <w:p>
      <w:pPr>
        <w:pStyle w:val="Normal"/>
        <w:spacing w:before="0" w:after="12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Це завдання є продовженням ДЗ5, у якому для банківського кейсу «Витік конфіденційних даних клієнтів» було проведено FAIR-аналіз та визначено 11 заходів контролю. Поточне завдання розподіляє відповідальність за кожен захід між ключовими ролями організації у форматі матриці RACI.</w:t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Матриця RACI гарантує, що кожен контроль має виконавця (R) та відповідального (A), усуває прогалини у відповідальності та формує основу для операційного управління безпекою.</w:t>
      </w:r>
    </w:p>
    <w:p>
      <w:pPr>
        <w:pStyle w:val="Heading2"/>
        <w:spacing w:before="186" w:after="66"/>
        <w:rPr>
          <w:rFonts w:ascii="Times New Roman" w:hAnsi="Times New Roman"/>
          <w:color w:val="2A6099"/>
        </w:rPr>
      </w:pPr>
      <w:r>
        <w:rPr>
          <w:rFonts w:eastAsia="Arial" w:cs="Arial" w:ascii="Times New Roman" w:hAnsi="Times New Roman"/>
          <w:color w:val="2A6099"/>
        </w:rPr>
        <w:t>2. Умовні позначення (RACI)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0"/>
        <w:gridCol w:w="1599"/>
        <w:gridCol w:w="6827"/>
      </w:tblGrid>
      <w:tr>
        <w:trPr>
          <w:tblHeader w:val="true"/>
        </w:trPr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Код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68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18"/>
                <w:szCs w:val="18"/>
              </w:rPr>
              <w:t>Responsible</w:t>
            </w:r>
          </w:p>
        </w:tc>
        <w:tc>
          <w:tcPr>
            <w:tcW w:w="68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color w:val="000000"/>
                <w:sz w:val="20"/>
                <w:szCs w:val="20"/>
              </w:rPr>
              <w:t>Особа (особи), яка безпосередньо виконує завдання. Обов'язково одна або декілька на контроль.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18"/>
                <w:szCs w:val="18"/>
              </w:rPr>
              <w:t>Accountable</w:t>
            </w:r>
          </w:p>
        </w:tc>
        <w:tc>
          <w:tcPr>
            <w:tcW w:w="68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color w:val="000000"/>
                <w:sz w:val="20"/>
                <w:szCs w:val="20"/>
              </w:rPr>
              <w:t>Особа, яка несе кінцеву відповідальність і підписує результат. Завжди одна.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18"/>
                <w:szCs w:val="18"/>
              </w:rPr>
              <w:t>Consulted</w:t>
            </w:r>
          </w:p>
        </w:tc>
        <w:tc>
          <w:tcPr>
            <w:tcW w:w="68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color w:val="000000"/>
                <w:sz w:val="20"/>
                <w:szCs w:val="20"/>
              </w:rPr>
              <w:t>Особа, з якою слід погодити рішення (двосторонній зв'язок).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18"/>
                <w:szCs w:val="18"/>
              </w:rPr>
              <w:t>Informed</w:t>
            </w:r>
          </w:p>
        </w:tc>
        <w:tc>
          <w:tcPr>
            <w:tcW w:w="68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color w:val="000000"/>
                <w:sz w:val="20"/>
                <w:szCs w:val="20"/>
              </w:rPr>
              <w:t>Особа, яку інформують про результати або прогрес (односторонній зв'язок).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before="15" w:after="0"/>
        <w:rPr>
          <w:rFonts w:ascii="Times New Roman" w:hAnsi="Times New Roman"/>
          <w:color w:val="2A6099"/>
        </w:rPr>
      </w:pPr>
      <w:r>
        <w:rPr>
          <w:rFonts w:eastAsia="Arial" w:cs="Arial" w:ascii="Times New Roman" w:hAnsi="Times New Roman"/>
          <w:color w:val="2A6099"/>
        </w:rPr>
        <w:t>3. Ключові ролі</w:t>
      </w:r>
    </w:p>
    <w:p>
      <w:pPr>
        <w:pStyle w:val="Normal"/>
        <w:spacing w:before="0" w:after="120"/>
        <w:jc w:val="both"/>
        <w:rPr>
          <w:rFonts w:ascii="Times New Roman" w:hAnsi="Times New Roman"/>
          <w:color w:val="000000"/>
        </w:rPr>
      </w:pPr>
      <w:r>
        <w:rPr>
          <w:rFonts w:eastAsia="Arial" w:cs="Arial" w:ascii="Times New Roman" w:hAnsi="Times New Roman"/>
          <w:color w:val="000000"/>
          <w:sz w:val="22"/>
          <w:szCs w:val="22"/>
        </w:rPr>
        <w:t>Нижче наведено перелік ролей, задіяних в управлінні ризиками інформаційної безпеки банку. Ролі відповідають типовій організаційній структурі банківської установи.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201"/>
        <w:gridCol w:w="5026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Абревіатура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 / Посада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Відповідальність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CEO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Стратегічне управління, затвердження бюджетів безпеки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CISO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Відповідальний за політику та стан ІБ банку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IT-MGR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Контроль впровадження IT-рішень та проєктів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SYS-ADM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Підтримка інфраструктури, доступів, конфігурацій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DEV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Реалізація безпечного коду, інтеграції, патчів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HR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Навчання персоналу, awareness-програми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COMPL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Відповідність нормативам, аудит, залишковий ризик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0000"/>
                <w:sz w:val="18"/>
                <w:szCs w:val="18"/>
              </w:rPr>
              <w:t>STAFF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5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Кінцеві користувачі, учасники навчань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before="15" w:after="0"/>
        <w:rPr>
          <w:rFonts w:eastAsia="Arial" w:cs="Arial"/>
        </w:rPr>
      </w:pPr>
      <w:r>
        <w:rPr>
          <w:rFonts w:ascii="Times New Roman" w:hAnsi="Times New Roman"/>
          <w:color w:val="2A6099"/>
        </w:rPr>
      </w:r>
    </w:p>
    <w:p>
      <w:pPr>
        <w:pStyle w:val="Heading2"/>
        <w:spacing w:before="15" w:after="0"/>
        <w:rPr>
          <w:rFonts w:eastAsia="Arial" w:cs="Arial"/>
        </w:rPr>
      </w:pPr>
      <w:r>
        <w:rPr>
          <w:rFonts w:ascii="Times New Roman" w:hAnsi="Times New Roman"/>
          <w:color w:val="2A6099"/>
        </w:rPr>
      </w:r>
      <w:r>
        <w:br w:type="page"/>
      </w:r>
    </w:p>
    <w:p>
      <w:pPr>
        <w:pStyle w:val="Heading2"/>
        <w:spacing w:before="15" w:after="0"/>
        <w:rPr>
          <w:rFonts w:ascii="Times New Roman" w:hAnsi="Times New Roman"/>
          <w:color w:val="2A6099"/>
        </w:rPr>
      </w:pPr>
      <w:r>
        <w:rPr>
          <w:rFonts w:eastAsia="Arial" w:cs="Arial" w:ascii="Times New Roman" w:hAnsi="Times New Roman"/>
          <w:color w:val="2A6099"/>
        </w:rPr>
        <w:t>4. Зведена матриця RACI</w:t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000000"/>
          <w:sz w:val="22"/>
          <w:szCs w:val="22"/>
        </w:rPr>
        <w:t>Таблиця відображає розподіл ролей R/A/C/I для кожного заходу контролю</w:t>
      </w:r>
      <w:r>
        <w:rPr>
          <w:rFonts w:eastAsia="Arial" w:cs="Arial" w:ascii="Times New Roman" w:hAnsi="Times New Roman"/>
          <w:sz w:val="22"/>
          <w:szCs w:val="22"/>
        </w:rPr>
        <w:t>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900"/>
        <w:gridCol w:w="641"/>
        <w:gridCol w:w="641"/>
        <w:gridCol w:w="640"/>
        <w:gridCol w:w="641"/>
        <w:gridCol w:w="641"/>
        <w:gridCol w:w="642"/>
        <w:gridCol w:w="641"/>
        <w:gridCol w:w="640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Захід контролю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Категорія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CEO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CISO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IT-MGR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SYS-ADM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HR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COMPL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STAFF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MFA для співробітників і адміністраторів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Запобігання | Технічний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Навчання з фішингу + симуляції атак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Запобігання | Адміністративний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Політика мінімальних привілеїв + щоквартальний access review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Запобігання | Адміністративний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WAF + managed rules + anti-bot захист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Запобігання | Технічний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Шифрування БД + керування ключами + DLP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Запобігання | Технічний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SIEM: централізація логів і кореляційні правила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Виявлення | Технічний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IDS/IPS + EDR для кінцевих точок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Виявлення | Технічний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План реагування на інциденти + tabletop exercises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Відновлення | Адміністративний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Immutable backup + регулярне тестування відновлення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Відновлення | Технічний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Контроль фізичного доступу до серверних приміщень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Запобігання | Фізичний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29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18"/>
                <w:szCs w:val="18"/>
              </w:rPr>
              <w:t>Відеонагляд і перегляд журналів фізичного доступу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6"/>
                <w:szCs w:val="16"/>
              </w:rPr>
              <w:t>Виявлення | Фізичний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6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before="15" w:after="0"/>
        <w:rPr>
          <w:rFonts w:ascii="Times New Roman" w:hAnsi="Times New Roman"/>
          <w:color w:val="2A6099"/>
        </w:rPr>
      </w:pPr>
      <w:r>
        <w:rPr>
          <w:rFonts w:eastAsia="Arial" w:cs="Arial" w:ascii="Times New Roman" w:hAnsi="Times New Roman"/>
          <w:color w:val="2A6099"/>
        </w:rPr>
        <w:t>5. Деталізований розподіл за кожним контролем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eastAsia="Arial" w:cs="Arial" w:ascii="Times New Roman" w:hAnsi="Times New Roman"/>
          <w:color w:val="000000"/>
          <w:sz w:val="22"/>
          <w:szCs w:val="22"/>
        </w:rPr>
        <w:t>Для кожного заходу контролю наведено детальне пояснення логіки розподілу ролей та коментар.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5.1. MFA для співробітників і адміністраторів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Запобігання | Технічний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IT-менеджер впроваджує рішення (Entra ID P1). CISO затверджує політику MFA. Розробник консультує щодо API-інтеграції. Співробітники отримують інструкції.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5.2. Навчання з фішингу + симуляції атак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Запобігання | Адміністративний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HR організовує та проводить навчання. CISO визначає зміст і частоту. Compliance стежить за виконанням вимог регулятора. Всі співробітники проходять навчання.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5.3. Політика мінімальних привілеїв + щоквартальний access review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Запобігання | Адміністративний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Системний адміністратор виконує налаштування прав та проводить access review. CISO відповідає за IAM-політику. Compliance перевіряє відповідність NB/NIST.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5.4. WAF + managed rules + anti-bot захист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Запобігання | Технічний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IT-менеджер замовляє та впроваджує AWS WAF. Сис. адміністратор налаштовує правила. Розробник інтегрує WAF з вебзастосунками банку.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5.5. Шифрування БД + керування ключами + DLP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Запобігання | Технічний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Розробник реалізує шифрування на рівні застосунку і DLP. IT-менеджер керує рішенням. CISO визначає стандарти шифрування. Compliance перевіряє відповідність.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5.6. SIEM: централізація логів і кореляційні правила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Виявлення | Технічний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IT-менеджер розгортає Microsoft Sentinel. Сис. адміністратор підключає джерела логів. Розробник додає логування в застосунки. CISO формує кореляційні правила.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5.7. IDS/IPS + EDR для кінцевих точок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Виявлення | Технічний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Два Responsible: IT-менеджер закуповує та налаштовує рішення (Defender for Endpoint), системний адміністратор відповідає за постійну підтримку та оновлення агентів.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5.8. План реагування на інциденти + tabletop exercises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Відновлення | Адміністративний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CISO розробляє та тестує IRP. CEO затверджує план і несе кінцеву відповідальність. IT-менеджер і сис. адміністратор консультують щодо технічних деталей.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5.9. Immutable backup + регулярне тестування відновлення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Відновлення | Технічний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IT-менеджер налаштовує Azure Backup із незмінними знімками. Сис. адміністратор виконує резервне копіювання та тести відновлення. CISO відповідає за RTO/RPO.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5.10. Контроль фізичного доступу до серверних приміщень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Запобігання | Фізичний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Системний адміністратор керує СКУД і реєстрами доступу. CISO визначає політику фізичного доступу. Compliance перевіряє виконання вимог аудиту НБУ.</w:t>
      </w:r>
    </w:p>
    <w:p>
      <w:pPr>
        <w:pStyle w:val="Heading3"/>
        <w:spacing w:before="24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5.11. Відеонагляд і перегляд журналів фізичного доступу</w:t>
      </w:r>
    </w:p>
    <w:p>
      <w:pPr>
        <w:pStyle w:val="Normal"/>
        <w:spacing w:before="0" w:after="10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Категорія: </w:t>
      </w:r>
      <w:r>
        <w:rPr>
          <w:rFonts w:eastAsia="Arial" w:cs="Arial" w:ascii="Times New Roman" w:hAnsi="Times New Roman"/>
          <w:color w:val="1F4E79"/>
          <w:sz w:val="20"/>
          <w:szCs w:val="20"/>
        </w:rPr>
        <w:t>Виявлення | Фізичний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750"/>
        <w:gridCol w:w="587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RACI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18"/>
                <w:szCs w:val="18"/>
              </w:rPr>
              <w:t>Опис відповідальності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CEO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CISO / Security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EB9C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9C5700"/>
                <w:sz w:val="20"/>
                <w:szCs w:val="20"/>
              </w:rPr>
              <w:t>A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Несе кінцеву відповідальність (Accountable)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IT-менеджер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Системний адміністратор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C6EFCE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6100"/>
                <w:sz w:val="20"/>
                <w:szCs w:val="20"/>
              </w:rPr>
              <w:t>R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Виконує завдання (Responsible)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Розробник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HR / Training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Compliance / Risk Mgr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DEBF7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1F4E79"/>
                <w:sz w:val="20"/>
                <w:szCs w:val="20"/>
              </w:rPr>
              <w:t>C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BF3FB" w:val="clear"/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Надає консультації (Consulted)</w:t>
            </w:r>
          </w:p>
        </w:tc>
      </w:tr>
      <w:tr>
        <w:trPr/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Співробітники</w:t>
            </w:r>
          </w:p>
        </w:tc>
        <w:tc>
          <w:tcPr>
            <w:tcW w:w="7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left w:w="60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595959"/>
                <w:sz w:val="20"/>
                <w:szCs w:val="20"/>
              </w:rPr>
              <w:t>I</w:t>
            </w:r>
          </w:p>
        </w:tc>
        <w:tc>
          <w:tcPr>
            <w:tcW w:w="58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sz w:val="18"/>
                <w:szCs w:val="18"/>
              </w:rPr>
              <w:t>Отримує інформацію (Informed)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sz w:val="20"/>
          <w:szCs w:val="20"/>
        </w:rPr>
        <w:t xml:space="preserve">Коментар: </w:t>
      </w:r>
      <w:r>
        <w:rPr>
          <w:rFonts w:eastAsia="Arial" w:cs="Arial" w:ascii="Times New Roman" w:hAnsi="Times New Roman"/>
          <w:color w:val="404040"/>
          <w:sz w:val="20"/>
          <w:szCs w:val="20"/>
        </w:rPr>
        <w:t>Системний адміністратор підтримує систему відеонагляду і аналізує журнали. CISO отримує звіти про аномалії. Compliance перевіряє дотримання термінів зберігання записів.</w:t>
      </w:r>
    </w:p>
    <w:p>
      <w:pPr>
        <w:pStyle w:val="Heading2"/>
        <w:rPr>
          <w:rFonts w:ascii="Times New Roman" w:hAnsi="Times New Roman"/>
        </w:rPr>
      </w:pPr>
      <w:r>
        <w:rPr>
          <w:rFonts w:eastAsia="Arial" w:cs="Arial" w:ascii="Times New Roman" w:hAnsi="Times New Roman"/>
        </w:rPr>
        <w:t>6. Висновки</w:t>
      </w:r>
    </w:p>
    <w:p>
      <w:pPr>
        <w:pStyle w:val="Normal"/>
        <w:spacing w:before="0" w:after="12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Матриця RACI для банківського кейсу розподіляє 11 заходів контролю між 8 ключовими ролями організації. Основні спостереження:</w:t>
      </w:r>
    </w:p>
    <w:p>
      <w:pPr>
        <w:pStyle w:val="ListParagraph"/>
        <w:numPr>
          <w:ilvl w:val="0"/>
          <w:numId w:val="3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CISO (A) несе кінцеву відповідальність за 10 з 11 контролів — він є власником безпеки банку. Виняток — план реагування на інциденти, де кінцеву відповідальність несе CEO.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IT-менеджер (R) є основним виконавцем для технічних контролів: MFA, WAF, SIEM, EDR, backup.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Системний адміністратор (R) відповідає за операційні та фізичні заходи: IAM/access review, фізичний доступ, відеонагляд.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HR відповідає (R) за організацію антифішингового навчання — це єдина роль, де HR є виконавцем.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Compliance / Risk Manager залучається як Consulted (C) до всіх контролів з регуляторними наслідками.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Співробітники завжди лише Informed (I) — вони є кінцевими бенефіціарами безпеки та учасниками навчань.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Кожен контроль має рівно одну роль A, що відповідає вимогам коректної матриці RACI.</w:t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20"/>
        <w:jc w:val="both"/>
        <w:rPr>
          <w:rFonts w:ascii="Times New Roman" w:hAnsi="Times New Roman"/>
        </w:rPr>
      </w:pPr>
      <w:r>
        <w:rPr>
          <w:rFonts w:eastAsia="Arial" w:cs="Arial" w:ascii="Times New Roman" w:hAnsi="Times New Roman"/>
          <w:sz w:val="22"/>
          <w:szCs w:val="22"/>
        </w:rPr>
        <w:t>Впровадження цієї матриці RACI у поєднанні із заходами контролю, визначеними в ДЗ5, дозволить знизити ALE банку з ~112 млн грн до ~24,7 млн грн на рік при річній вартості контролів ~3,1 млн грн.</w:t>
      </w:r>
    </w:p>
    <w:sectPr>
      <w:type w:val="nextPage"/>
      <w:pgSz w:orient="landscape"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30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Real_Office/7.4.0.3$Windows_X86_64 LibreOffice_project/</Application>
  <AppVersion>15.0000</AppVersion>
  <Pages>7</Pages>
  <Words>1556</Words>
  <Characters>10011</Characters>
  <CharactersWithSpaces>11050</CharactersWithSpaces>
  <Paragraphs>514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2026-05-22T15:35:13Z</dcterms:created>
  <dc:creator>Un-named</dc:creator>
  <dc:description/>
  <dc:language>en-US</dc:language>
  <cp:lastModifiedBy/>
  <dcterms:modified xsi:type="dcterms:W3CDTF">2026-05-22T10:49:43Z</dcterms:modified>
  <cp:revision>2</cp:revision>
  <dc:subject/>
  <dc:title/>
</cp:coreProperties>
</file>