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05255">
      <w:pPr>
        <w:pStyle w:val="30"/>
        <w:numPr>
          <w:ilvl w:val="0"/>
          <w:numId w:val="1"/>
        </w:numPr>
      </w:pPr>
      <w:r>
        <w:rPr>
          <w:rFonts w:hint="eastAsia" w:ascii="宋体" w:hAnsi="宋体" w:cs="宋体"/>
        </w:rPr>
        <w:t>课程学了哪些机器学习算法，主要思想是什么？</w:t>
      </w:r>
    </w:p>
    <w:p w14:paraId="26B2CCF9">
      <w:pPr>
        <w:pStyle w:val="30"/>
        <w:ind w:left="36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LDA、 决策树、SVM、随机森林、K-均值、DBSCAN</w:t>
      </w:r>
    </w:p>
    <w:p w14:paraId="21C0C8BF">
      <w:pPr>
        <w:pStyle w:val="30"/>
        <w:ind w:left="360"/>
        <w:rPr>
          <w:rFonts w:hint="default" w:ascii="宋体" w:hAnsi="宋体" w:cs="宋体" w:eastAsiaTheme="minorEastAsia"/>
          <w:lang w:val="en-US" w:eastAsia="zh-CN"/>
        </w:rPr>
      </w:pPr>
    </w:p>
    <w:p w14:paraId="1DD8CFE1">
      <w:pPr>
        <w:rPr>
          <w:color w:val="0000FF"/>
        </w:rPr>
      </w:pPr>
      <w:r>
        <w:rPr>
          <w:color w:val="0000FF"/>
        </w:rPr>
        <w:t>​</w:t>
      </w:r>
      <w:r>
        <w:rPr>
          <w:rFonts w:hint="default"/>
          <w:color w:val="0000FF"/>
        </w:rPr>
        <w:t>​LDA​​：降维+分类，最大化类间距离/类内距离比值</w:t>
      </w:r>
    </w:p>
    <w:p w14:paraId="434002B9">
      <w:pPr>
        <w:rPr>
          <w:color w:val="0000FF"/>
        </w:rPr>
      </w:pPr>
      <w:r>
        <w:rPr>
          <w:rFonts w:hint="default"/>
          <w:color w:val="0000FF"/>
        </w:rPr>
        <w:t>​​决策树​​：树形结构，递归选择最优特征划分（如信息增益）</w:t>
      </w:r>
    </w:p>
    <w:p w14:paraId="61036056">
      <w:pPr>
        <w:rPr>
          <w:rFonts w:hint="default"/>
          <w:color w:val="0000FF"/>
        </w:rPr>
      </w:pPr>
      <w:r>
        <w:rPr>
          <w:rFonts w:hint="default"/>
          <w:color w:val="0000FF"/>
        </w:rPr>
        <w:t>​​SVM​​：寻找最大间隔超平面，核函数处理非线性</w:t>
      </w:r>
    </w:p>
    <w:p w14:paraId="435CC08A">
      <w:pPr>
        <w:rPr>
          <w:rFonts w:hint="default" w:ascii="宋体" w:hAnsi="宋体" w:cs="宋体" w:eastAsiaTheme="minorEastAsia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cs="宋体" w:eastAsiaTheme="minorEastAsia"/>
          <w:kern w:val="2"/>
          <w:sz w:val="22"/>
          <w:szCs w:val="24"/>
          <w:lang w:val="en-US" w:eastAsia="zh-CN" w:bidi="ar-SA"/>
          <w14:ligatures w14:val="standardContextual"/>
        </w:rPr>
        <w:t>例子</w:t>
      </w:r>
      <w:r>
        <w:rPr>
          <w:rFonts w:hint="default" w:ascii="宋体" w:hAnsi="宋体" w:cs="宋体" w:eastAsiaTheme="minorEastAsia"/>
          <w:kern w:val="2"/>
          <w:sz w:val="22"/>
          <w:szCs w:val="24"/>
          <w:lang w:val="en-US" w:eastAsia="zh-CN" w:bidi="ar-SA"/>
          <w14:ligatures w14:val="standardContextual"/>
        </w:rPr>
        <w:t>：下图中的两类数据（红点和蓝点）在二维平面上无法用直线分开。</w:t>
      </w:r>
    </w:p>
    <w:p w14:paraId="75AA78C3">
      <w:pPr>
        <w:rPr>
          <w:rFonts w:hint="default" w:ascii="宋体" w:hAnsi="宋体" w:cs="宋体" w:eastAsiaTheme="minorEastAsia"/>
          <w:kern w:val="2"/>
          <w:sz w:val="22"/>
          <w:szCs w:val="24"/>
          <w:lang w:val="en-US" w:eastAsia="zh-CN" w:bidi="ar-SA"/>
          <w14:ligatures w14:val="standardContextual"/>
        </w:rPr>
      </w:pPr>
      <w:r>
        <w:rPr>
          <w:rFonts w:hint="eastAsia" w:ascii="宋体" w:hAnsi="宋体" w:cs="宋体" w:eastAsiaTheme="minorEastAsia"/>
          <w:kern w:val="2"/>
          <w:sz w:val="22"/>
          <w:szCs w:val="24"/>
          <w:lang w:val="en-US" w:eastAsia="zh-CN" w:bidi="ar-SA"/>
          <w14:ligatures w14:val="standardContextual"/>
        </w:rPr>
        <w:t>将数据映射到更高维空间（如三维），可能变得线性可分（如用一个平面分开）</w:t>
      </w:r>
    </w:p>
    <w:p w14:paraId="3F17035A">
      <w:pPr>
        <w:rPr>
          <w:rFonts w:hint="default"/>
          <w:color w:val="0000FF"/>
        </w:rPr>
      </w:pPr>
      <w:r>
        <w:rPr>
          <w:rFonts w:hint="default"/>
          <w:color w:val="0000FF"/>
        </w:rPr>
        <w:t>​​随机森林​​：多决策树投票，Bagging+随机特征选择</w:t>
      </w:r>
    </w:p>
    <w:p w14:paraId="5354D0B4">
      <w:r>
        <w:rPr>
          <w:rFonts w:hint="default"/>
        </w:rPr>
        <w:t>Bagging</w:t>
      </w:r>
      <w:r>
        <w:rPr>
          <w:rFonts w:hint="eastAsia"/>
          <w:lang w:eastAsia="zh-CN"/>
        </w:rPr>
        <w:t>：</w:t>
      </w:r>
      <w:r>
        <w:t>训练多个模型（通常是同一种模型，如决策树），让它们对同一个问题独立投票，最终取多数结果（分类）或平均值（回归）</w:t>
      </w:r>
    </w:p>
    <w:p w14:paraId="240EF5CA">
      <w:pPr>
        <w:rPr>
          <w:rFonts w:hint="default"/>
        </w:rPr>
      </w:pPr>
      <w:r>
        <w:rPr>
          <w:rFonts w:hint="default"/>
        </w:rPr>
        <w:t>随机特征选择</w:t>
      </w:r>
      <w:r>
        <w:rPr>
          <w:rFonts w:hint="eastAsia"/>
          <w:lang w:eastAsia="zh-CN"/>
        </w:rPr>
        <w:t>：</w:t>
      </w:r>
      <w:r>
        <w:t>每棵树分裂时随机选部分特征</w:t>
      </w:r>
    </w:p>
    <w:p w14:paraId="2E96D5E1">
      <w:pPr>
        <w:rPr>
          <w:color w:val="0000FF"/>
        </w:rPr>
      </w:pPr>
      <w:r>
        <w:rPr>
          <w:rFonts w:hint="default"/>
          <w:color w:val="0000FF"/>
        </w:rPr>
        <w:t>​​K-means​​：迭代聚类，最小化样本到簇中心距离</w:t>
      </w:r>
    </w:p>
    <w:p w14:paraId="1EDC683B">
      <w:pPr>
        <w:rPr>
          <w:color w:val="0000FF"/>
        </w:rPr>
      </w:pPr>
      <w:r>
        <w:rPr>
          <w:rFonts w:hint="default"/>
          <w:color w:val="0000FF"/>
        </w:rPr>
        <w:t>​​DBSCAN​​：基于密度聚类，区分核心点/边界点/噪声</w:t>
      </w:r>
    </w:p>
    <w:p w14:paraId="0CE75B9F">
      <w:pPr>
        <w:pStyle w:val="30"/>
        <w:ind w:left="360"/>
        <w:rPr>
          <w:rFonts w:hint="eastAsia" w:ascii="宋体" w:hAnsi="宋体" w:cs="宋体"/>
        </w:rPr>
      </w:pPr>
    </w:p>
    <w:p w14:paraId="224AFD15">
      <w:pPr>
        <w:pStyle w:val="30"/>
        <w:ind w:left="360"/>
      </w:pPr>
      <w:r>
        <w:drawing>
          <wp:inline distT="0" distB="0" distL="114300" distR="114300">
            <wp:extent cx="3625850" cy="1701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44D3">
      <w:pPr>
        <w:pStyle w:val="30"/>
        <w:ind w:left="360"/>
        <w:rPr>
          <w:rFonts w:hint="eastAsia"/>
        </w:rPr>
      </w:pPr>
      <w:r>
        <w:drawing>
          <wp:inline distT="0" distB="0" distL="114300" distR="114300">
            <wp:extent cx="3540125" cy="1838325"/>
            <wp:effectExtent l="0" t="0" r="317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0F43">
      <w:pPr>
        <w:pStyle w:val="30"/>
        <w:ind w:left="360"/>
        <w:rPr>
          <w:rFonts w:hint="eastAsia" w:ascii="宋体" w:hAnsi="宋体" w:cs="宋体"/>
        </w:rPr>
      </w:pPr>
    </w:p>
    <w:p w14:paraId="5601D21F">
      <w:pPr>
        <w:pStyle w:val="30"/>
        <w:numPr>
          <w:ilvl w:val="0"/>
          <w:numId w:val="1"/>
        </w:numPr>
      </w:pPr>
      <w:r>
        <w:t>集成学习</w:t>
      </w:r>
      <w:r>
        <w:rPr>
          <w:rFonts w:hint="eastAsia"/>
        </w:rPr>
        <w:t>的理解</w:t>
      </w:r>
    </w:p>
    <w:p w14:paraId="3BBEC503">
      <w:pPr>
        <w:pStyle w:val="30"/>
        <w:ind w:left="360"/>
        <w:rPr>
          <w:b/>
          <w:bCs/>
        </w:rPr>
      </w:pPr>
      <w:r>
        <w:rPr>
          <w:b/>
          <w:bCs/>
        </w:rPr>
        <w:t>某电商平台邀请50名数据分析师预测“双十一”期间某热门商品的日销量（预测结果分为“超过10万件”或“不超过10万件”）。每位分析师单独预测的正确率为60%。平台将50人的预测结果进行多数投票，发现集体预测的正确率达到了85%，显著高于任何单个人的正确率。这一现象是偶然的吗？请从机器学习的角度解释原因。</w:t>
      </w:r>
    </w:p>
    <w:p w14:paraId="441A77E6">
      <w:pPr>
        <w:pStyle w:val="30"/>
        <w:ind w:left="360"/>
      </w:pPr>
      <w:r>
        <w:t>这一现象并非偶然，而是集成学习中“群体智慧”的必然体现。通过结合多个弱预测器的独立决策，集体投票能够有效</w:t>
      </w:r>
      <w:r>
        <w:rPr>
          <w:color w:val="0000FF"/>
        </w:rPr>
        <w:t>减少随机误差，提升整体预测的鲁棒性和准确性</w:t>
      </w:r>
      <w:r>
        <w:t>。</w:t>
      </w:r>
    </w:p>
    <w:p w14:paraId="325909BE">
      <w:pPr>
        <w:pStyle w:val="30"/>
        <w:ind w:left="360"/>
      </w:pPr>
    </w:p>
    <w:p w14:paraId="3EEE2845">
      <w:pPr>
        <w:pStyle w:val="30"/>
        <w:ind w:left="36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鲁棒性：抗干扰性</w:t>
      </w:r>
    </w:p>
    <w:p w14:paraId="0FC37E2A">
      <w:pPr>
        <w:pStyle w:val="30"/>
        <w:ind w:left="360"/>
      </w:pPr>
    </w:p>
    <w:p w14:paraId="4E1C7536">
      <w:pPr>
        <w:pStyle w:val="30"/>
        <w:ind w:left="360"/>
      </w:pPr>
    </w:p>
    <w:p w14:paraId="245039DC">
      <w:pPr>
        <w:pStyle w:val="30"/>
        <w:ind w:left="360"/>
      </w:pPr>
    </w:p>
    <w:p w14:paraId="63BAD546">
      <w:pPr>
        <w:pStyle w:val="30"/>
        <w:numPr>
          <w:ilvl w:val="0"/>
          <w:numId w:val="1"/>
        </w:numPr>
      </w:pPr>
      <w:r>
        <w:rPr>
          <w:rFonts w:hint="eastAsia"/>
        </w:rPr>
        <w:t>过拟合现象</w:t>
      </w:r>
    </w:p>
    <w:p w14:paraId="3ABEF1E1">
      <w:pPr>
        <w:pStyle w:val="30"/>
        <w:ind w:left="360"/>
      </w:pPr>
      <w:r>
        <w:rPr>
          <w:rFonts w:hint="eastAsia"/>
          <w:color w:val="0000FF"/>
        </w:rPr>
        <w:t>调参</w:t>
      </w:r>
      <w:r>
        <w:rPr>
          <w:rFonts w:hint="eastAsia"/>
        </w:rPr>
        <w:t>可能使模型</w:t>
      </w:r>
      <w:r>
        <w:rPr>
          <w:rFonts w:hint="eastAsia"/>
          <w:color w:val="0000FF"/>
        </w:rPr>
        <w:t>过度适配</w:t>
      </w:r>
      <w:r>
        <w:rPr>
          <w:rFonts w:hint="eastAsia"/>
        </w:rPr>
        <w:t>本地测试集的</w:t>
      </w:r>
      <w:r>
        <w:rPr>
          <w:rFonts w:hint="eastAsia"/>
          <w:color w:val="0000FF"/>
        </w:rPr>
        <w:t>噪声或特定分布</w:t>
      </w:r>
      <w:r>
        <w:rPr>
          <w:rFonts w:hint="eastAsia"/>
        </w:rPr>
        <w:t>，</w:t>
      </w:r>
      <w:r>
        <w:rPr>
          <w:color w:val="0000FF"/>
        </w:rPr>
        <w:t>本地测试集</w:t>
      </w:r>
      <w:r>
        <w:t>上</w:t>
      </w:r>
      <w:r>
        <w:rPr>
          <w:color w:val="0000FF"/>
        </w:rPr>
        <w:t>准确率</w:t>
      </w:r>
      <w:r>
        <w:t>提升但在</w:t>
      </w:r>
      <w:r>
        <w:rPr>
          <w:rFonts w:hint="eastAsia"/>
          <w:color w:val="0000FF"/>
        </w:rPr>
        <w:t>真实场景测试</w:t>
      </w:r>
      <w:r>
        <w:rPr>
          <w:color w:val="0000FF"/>
        </w:rPr>
        <w:t>集</w:t>
      </w:r>
      <w:r>
        <w:t>上下降</w:t>
      </w:r>
      <w:r>
        <w:rPr>
          <w:rFonts w:hint="eastAsia"/>
        </w:rPr>
        <w:t>，</w:t>
      </w:r>
      <w:r>
        <w:t>导致</w:t>
      </w:r>
      <w:r>
        <w:rPr>
          <w:color w:val="0000FF"/>
        </w:rPr>
        <w:t>泛化</w:t>
      </w:r>
      <w:r>
        <w:t>能力下降。</w:t>
      </w:r>
    </w:p>
    <w:p w14:paraId="1865CC00">
      <w:pPr>
        <w:pStyle w:val="30"/>
        <w:ind w:left="360"/>
      </w:pPr>
    </w:p>
    <w:p w14:paraId="75016EAC">
      <w:pPr>
        <w:pStyle w:val="30"/>
        <w:ind w:left="360"/>
        <w:rPr>
          <w:rFonts w:hint="eastAsia"/>
        </w:rPr>
      </w:pPr>
    </w:p>
    <w:p w14:paraId="0EBAF7B2">
      <w:pPr>
        <w:pStyle w:val="30"/>
        <w:numPr>
          <w:ilvl w:val="0"/>
          <w:numId w:val="1"/>
        </w:numPr>
      </w:pPr>
      <w:r>
        <w:rPr>
          <w:rFonts w:hint="eastAsia"/>
        </w:rPr>
        <w:t>机器学习与深度学习，监督学习与无监督学习</w:t>
      </w:r>
    </w:p>
    <w:p w14:paraId="318E08EE">
      <w:pPr>
        <w:numPr>
          <w:ilvl w:val="0"/>
          <w:numId w:val="2"/>
        </w:numPr>
      </w:pPr>
      <w:r>
        <w:rPr>
          <w:rFonts w:hint="eastAsia"/>
        </w:rPr>
        <w:t>相同点：</w:t>
      </w:r>
    </w:p>
    <w:p w14:paraId="0F8A0A80">
      <w:pPr>
        <w:ind w:left="360"/>
      </w:pPr>
      <w:r>
        <w:rPr>
          <w:b/>
          <w:bCs/>
        </w:rPr>
        <w:t>同属人工智能领域</w:t>
      </w:r>
      <w:r>
        <w:t>：两者均致力于让计算机从</w:t>
      </w:r>
      <w:r>
        <w:rPr>
          <w:color w:val="0000FF"/>
        </w:rPr>
        <w:t>数据</w:t>
      </w:r>
      <w:r>
        <w:t>中</w:t>
      </w:r>
      <w:r>
        <w:rPr>
          <w:color w:val="0000FF"/>
        </w:rPr>
        <w:t>学习规律并做出决策或预测</w:t>
      </w:r>
      <w:r>
        <w:t>，是人工智能的核心技术。</w:t>
      </w:r>
    </w:p>
    <w:p w14:paraId="3DC18B18">
      <w:pPr>
        <w:ind w:left="360"/>
      </w:pPr>
      <w:r>
        <w:rPr>
          <w:b/>
          <w:bCs/>
        </w:rPr>
        <w:t>数据驱动</w:t>
      </w:r>
      <w:r>
        <w:t>：均</w:t>
      </w:r>
      <w:r>
        <w:rPr>
          <w:color w:val="0000FF"/>
        </w:rPr>
        <w:t>依赖大量数据</w:t>
      </w:r>
      <w:r>
        <w:t>进行模型训练，通过数据中的模式</w:t>
      </w:r>
      <w:r>
        <w:rPr>
          <w:color w:val="0000FF"/>
        </w:rPr>
        <w:t>优化性能</w:t>
      </w:r>
      <w:r>
        <w:t>。</w:t>
      </w:r>
    </w:p>
    <w:p w14:paraId="4501F335">
      <w:pPr>
        <w:ind w:left="360"/>
      </w:pPr>
      <w:r>
        <w:rPr>
          <w:b/>
          <w:bCs/>
        </w:rPr>
        <w:t>应用场景重叠</w:t>
      </w:r>
      <w:r>
        <w:t>：如</w:t>
      </w:r>
      <w:r>
        <w:rPr>
          <w:color w:val="0000FF"/>
        </w:rPr>
        <w:t>图像识别、自然语言处理、推荐系统</w:t>
      </w:r>
      <w:r>
        <w:t>等领域，两者均有广泛应用。</w:t>
      </w:r>
    </w:p>
    <w:p w14:paraId="76DC09C6">
      <w:pPr>
        <w:ind w:left="360"/>
      </w:pPr>
      <w:r>
        <w:rPr>
          <w:b/>
          <w:bCs/>
        </w:rPr>
        <w:t>训练流程相似</w:t>
      </w:r>
      <w:r>
        <w:t>：需定义模型结构、选择损失函数（如交叉熵）、优化算法（如梯度下降）及评估指标（如准确率）。</w:t>
      </w:r>
    </w:p>
    <w:p w14:paraId="60AB6AB9">
      <w:pPr>
        <w:pStyle w:val="30"/>
        <w:numPr>
          <w:ilvl w:val="0"/>
          <w:numId w:val="2"/>
        </w:numPr>
      </w:pPr>
      <w:r>
        <w:rPr>
          <w:rFonts w:hint="eastAsia"/>
        </w:rPr>
        <w:t>不同点：</w:t>
      </w:r>
    </w:p>
    <w:tbl>
      <w:tblPr>
        <w:tblStyle w:val="14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036"/>
        <w:gridCol w:w="4644"/>
      </w:tblGrid>
      <w:tr w14:paraId="7DF78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5FFCC6">
            <w:r>
              <w:rPr>
                <w:b/>
                <w:bCs/>
              </w:rPr>
              <w:t>模型复杂度</w:t>
            </w:r>
          </w:p>
        </w:tc>
        <w:tc>
          <w:tcPr>
            <w:tcW w:w="0" w:type="auto"/>
            <w:vAlign w:val="center"/>
          </w:tcPr>
          <w:p w14:paraId="52712001">
            <w:r>
              <w:t>模型</w:t>
            </w:r>
            <w:r>
              <w:rPr>
                <w:color w:val="0000FF"/>
              </w:rPr>
              <w:t>简单</w:t>
            </w:r>
            <w:r>
              <w:t>（如线性回归、决策树），</w:t>
            </w:r>
            <w:r>
              <w:rPr>
                <w:color w:val="0000FF"/>
              </w:rPr>
              <w:t>参数</w:t>
            </w:r>
            <w:r>
              <w:t>少，结构透明。</w:t>
            </w:r>
          </w:p>
        </w:tc>
        <w:tc>
          <w:tcPr>
            <w:tcW w:w="0" w:type="auto"/>
            <w:vAlign w:val="center"/>
          </w:tcPr>
          <w:p w14:paraId="58E5ABAA">
            <w:r>
              <w:t>模型</w:t>
            </w:r>
            <w:r>
              <w:rPr>
                <w:color w:val="0000FF"/>
              </w:rPr>
              <w:t>复杂</w:t>
            </w:r>
            <w:r>
              <w:t>（如CNN、Transformer），多层网络参数庞大，自动提取高层次特征。</w:t>
            </w:r>
          </w:p>
        </w:tc>
      </w:tr>
      <w:tr w14:paraId="049A45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702FA">
            <w:r>
              <w:rPr>
                <w:b/>
                <w:bCs/>
              </w:rPr>
              <w:t>特征工程</w:t>
            </w:r>
          </w:p>
        </w:tc>
        <w:tc>
          <w:tcPr>
            <w:tcW w:w="0" w:type="auto"/>
            <w:vAlign w:val="center"/>
          </w:tcPr>
          <w:p w14:paraId="6B49EBC9">
            <w:r>
              <w:rPr>
                <w:color w:val="0000FF"/>
              </w:rPr>
              <w:t>依赖人工</w:t>
            </w:r>
            <w:r>
              <w:t>设计特征（如提取图像的边缘、颜色直方图）。</w:t>
            </w:r>
          </w:p>
        </w:tc>
        <w:tc>
          <w:tcPr>
            <w:tcW w:w="0" w:type="auto"/>
            <w:vAlign w:val="center"/>
          </w:tcPr>
          <w:p w14:paraId="0DE77C5A">
            <w:r>
              <w:rPr>
                <w:color w:val="0000FF"/>
              </w:rPr>
              <w:t>自动学习特征</w:t>
            </w:r>
            <w:r>
              <w:t>（如CNN从像素直接学习纹理、形状），减少人工干预。</w:t>
            </w:r>
          </w:p>
        </w:tc>
      </w:tr>
      <w:tr w14:paraId="7C60D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73251B">
            <w:r>
              <w:rPr>
                <w:b/>
                <w:bCs/>
              </w:rPr>
              <w:t>数据需求</w:t>
            </w:r>
          </w:p>
        </w:tc>
        <w:tc>
          <w:tcPr>
            <w:tcW w:w="0" w:type="auto"/>
            <w:vAlign w:val="center"/>
          </w:tcPr>
          <w:p w14:paraId="3563396D">
            <w:r>
              <w:rPr>
                <w:color w:val="0000FF"/>
              </w:rPr>
              <w:t>小规模数据</w:t>
            </w:r>
            <w:r>
              <w:t>即可训练（如SVM在千级样本表现良好）。</w:t>
            </w:r>
          </w:p>
        </w:tc>
        <w:tc>
          <w:tcPr>
            <w:tcW w:w="0" w:type="auto"/>
            <w:vAlign w:val="center"/>
          </w:tcPr>
          <w:p w14:paraId="3A9EE26A">
            <w:r>
              <w:t>需</w:t>
            </w:r>
            <w:r>
              <w:rPr>
                <w:color w:val="0000FF"/>
              </w:rPr>
              <w:t>海量标注数据</w:t>
            </w:r>
            <w:r>
              <w:t>（如ImageNet百万级图片），否则易过拟合。</w:t>
            </w:r>
          </w:p>
        </w:tc>
      </w:tr>
      <w:tr w14:paraId="401B76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5F6DC4">
            <w:r>
              <w:rPr>
                <w:b/>
                <w:bCs/>
              </w:rPr>
              <w:t>计算资源</w:t>
            </w:r>
          </w:p>
        </w:tc>
        <w:tc>
          <w:tcPr>
            <w:tcW w:w="0" w:type="auto"/>
            <w:vAlign w:val="center"/>
          </w:tcPr>
          <w:p w14:paraId="4D02BC76">
            <w:r>
              <w:rPr>
                <w:color w:val="0000FF"/>
              </w:rPr>
              <w:t>普通CPU</w:t>
            </w:r>
            <w:r>
              <w:t>即可训练，资源消耗低。</w:t>
            </w:r>
          </w:p>
        </w:tc>
        <w:tc>
          <w:tcPr>
            <w:tcW w:w="0" w:type="auto"/>
            <w:vAlign w:val="center"/>
          </w:tcPr>
          <w:p w14:paraId="7D04E6E9">
            <w:r>
              <w:rPr>
                <w:color w:val="0000FF"/>
              </w:rPr>
              <w:t>依赖GPU/TPU加速</w:t>
            </w:r>
            <w:r>
              <w:t>，训练成本高（如训练GPT-3需数千块GPU）。</w:t>
            </w:r>
          </w:p>
        </w:tc>
      </w:tr>
      <w:tr w14:paraId="6B6D9F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AB37D">
            <w:r>
              <w:rPr>
                <w:b/>
                <w:bCs/>
              </w:rPr>
              <w:t>可解释性</w:t>
            </w:r>
          </w:p>
        </w:tc>
        <w:tc>
          <w:tcPr>
            <w:tcW w:w="0" w:type="auto"/>
            <w:vAlign w:val="center"/>
          </w:tcPr>
          <w:p w14:paraId="7C14CC46">
            <w:r>
              <w:rPr>
                <w:color w:val="0000FF"/>
              </w:rPr>
              <w:t>模型逻辑清晰</w:t>
            </w:r>
            <w:r>
              <w:t>（如决策树规则、线性回归权重）。</w:t>
            </w:r>
          </w:p>
        </w:tc>
        <w:tc>
          <w:tcPr>
            <w:tcW w:w="0" w:type="auto"/>
            <w:vAlign w:val="center"/>
          </w:tcPr>
          <w:p w14:paraId="44EDA206">
            <w:r>
              <w:rPr>
                <w:color w:val="0000FF"/>
              </w:rPr>
              <w:t>黑箱</w:t>
            </w:r>
            <w:r>
              <w:t>特性显著，内部机制难以解释（如深层神经网络的激活路径）。</w:t>
            </w:r>
          </w:p>
        </w:tc>
      </w:tr>
    </w:tbl>
    <w:p w14:paraId="16D4FB76">
      <w:pPr>
        <w:pStyle w:val="3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3775" cy="3296285"/>
            <wp:effectExtent l="0" t="0" r="952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6CB7">
      <w:pPr>
        <w:pStyle w:val="30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54600" cy="3606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E7248">
      <w:pPr>
        <w:pStyle w:val="30"/>
        <w:numPr>
          <w:ilvl w:val="0"/>
          <w:numId w:val="0"/>
        </w:numPr>
        <w:ind w:leftChars="0"/>
      </w:pPr>
    </w:p>
    <w:p w14:paraId="0E7ED621">
      <w:pPr>
        <w:pStyle w:val="30"/>
        <w:numPr>
          <w:ilvl w:val="0"/>
          <w:numId w:val="0"/>
        </w:numPr>
        <w:ind w:leftChars="0"/>
      </w:pPr>
    </w:p>
    <w:p w14:paraId="18AA925C">
      <w:pPr>
        <w:pStyle w:val="30"/>
        <w:numPr>
          <w:ilvl w:val="0"/>
          <w:numId w:val="0"/>
        </w:numPr>
        <w:ind w:leftChars="0"/>
      </w:pPr>
    </w:p>
    <w:p w14:paraId="02C112E0">
      <w:pPr>
        <w:pStyle w:val="30"/>
        <w:numPr>
          <w:ilvl w:val="0"/>
          <w:numId w:val="0"/>
        </w:numPr>
        <w:ind w:leftChars="0"/>
      </w:pPr>
    </w:p>
    <w:p w14:paraId="202D86D5">
      <w:pPr>
        <w:pStyle w:val="30"/>
        <w:numPr>
          <w:ilvl w:val="0"/>
          <w:numId w:val="1"/>
        </w:numPr>
      </w:pPr>
      <w:r>
        <w:rPr>
          <w:rFonts w:hint="eastAsia"/>
        </w:rPr>
        <w:t>西瓜数据集</w:t>
      </w:r>
    </w:p>
    <w:p w14:paraId="22D0AC24">
      <w:pPr>
        <w:pStyle w:val="30"/>
        <w:ind w:left="360"/>
      </w:pPr>
      <w:r>
        <w:rPr>
          <w:rFonts w:hint="eastAsia"/>
        </w:rPr>
        <w:t>决策树 ID3算法</w:t>
      </w:r>
    </w:p>
    <w:p w14:paraId="038522E2">
      <w:r>
        <w:rPr>
          <w:rFonts w:hint="eastAsia" w:ascii="宋体" w:hAnsi="宋体" w:cs="宋体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-106680</wp:posOffset>
            </wp:positionH>
            <wp:positionV relativeFrom="paragraph">
              <wp:posOffset>323850</wp:posOffset>
            </wp:positionV>
            <wp:extent cx="5615940" cy="3943985"/>
            <wp:effectExtent l="0" t="0" r="3810" b="0"/>
            <wp:wrapNone/>
            <wp:docPr id="1940929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29279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信息增益准则</w:t>
      </w:r>
    </w:p>
    <w:p w14:paraId="3EED2610"/>
    <w:p w14:paraId="0AE00A9E"/>
    <w:p w14:paraId="70A001A8"/>
    <w:p w14:paraId="071174E0"/>
    <w:p w14:paraId="5502B3CF"/>
    <w:p w14:paraId="4B71505C"/>
    <w:p w14:paraId="7BF54365"/>
    <w:p w14:paraId="06452374"/>
    <w:p w14:paraId="01DF2919"/>
    <w:p w14:paraId="31D736E0"/>
    <w:p w14:paraId="2AA33792"/>
    <w:p w14:paraId="211DCAEE"/>
    <w:p w14:paraId="607D502F"/>
    <w:p w14:paraId="657974F5">
      <w:pPr>
        <w:numPr>
          <w:ilvl w:val="0"/>
          <w:numId w:val="3"/>
        </w:num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使用上述数据集，采用</w:t>
      </w:r>
      <w:r>
        <w:rPr>
          <w:rFonts w:hint="eastAsia" w:ascii="宋体" w:hAnsi="宋体" w:cs="宋体"/>
          <w:color w:val="0000FF"/>
        </w:rPr>
        <w:t>ID3学习算法训练决策树</w:t>
      </w:r>
      <w:r>
        <w:rPr>
          <w:rFonts w:hint="eastAsia" w:ascii="宋体" w:hAnsi="宋体" w:cs="宋体"/>
        </w:rPr>
        <w:t>，若以信息增益准则选择划分属性，请计算选择“敲声”作为划分属性的</w:t>
      </w:r>
      <w:r>
        <w:rPr>
          <w:rFonts w:hint="eastAsia" w:ascii="宋体" w:hAnsi="宋体" w:cs="宋体"/>
          <w:color w:val="0000FF"/>
        </w:rPr>
        <w:t>信息增益</w:t>
      </w:r>
      <w:r>
        <w:rPr>
          <w:rFonts w:hint="eastAsia" w:ascii="宋体" w:hAnsi="宋体" w:cs="宋体"/>
        </w:rPr>
        <w:t>。要求有计算过程，用分数表示概率即可，不需要计算出信息增益最后结果的小数值。</w:t>
      </w:r>
    </w:p>
    <w:p w14:paraId="694EF6D3">
      <w:pPr>
        <w:widowControl w:val="0"/>
        <w:numPr>
          <w:ilvl w:val="0"/>
          <w:numId w:val="0"/>
        </w:numPr>
        <w:spacing w:after="160" w:line="278" w:lineRule="auto"/>
        <w:rPr>
          <w:rFonts w:hint="eastAsia" w:ascii="宋体" w:hAnsi="宋体" w:cs="宋体" w:eastAsiaTheme="minorEastAsia"/>
          <w:lang w:val="en-US" w:eastAsia="zh-CN"/>
        </w:rPr>
      </w:pPr>
    </w:p>
    <w:p w14:paraId="5E05CFF3">
      <w:pPr>
        <w:widowControl w:val="0"/>
        <w:numPr>
          <w:ilvl w:val="0"/>
          <w:numId w:val="4"/>
        </w:numPr>
        <w:spacing w:after="160" w:line="278" w:lineRule="auto"/>
        <w:rPr>
          <w:rFonts w:hint="eastAsia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信息增益</w:t>
      </w:r>
    </w:p>
    <w:p w14:paraId="0FE0B4A6">
      <w:pPr>
        <w:widowControl w:val="0"/>
        <w:numPr>
          <w:ilvl w:val="1"/>
          <w:numId w:val="4"/>
        </w:numPr>
        <w:spacing w:after="160" w:line="278" w:lineRule="auto"/>
        <w:ind w:left="840" w:leftChars="0" w:hanging="420" w:firstLineChars="0"/>
        <w:rPr>
          <w:rFonts w:hint="default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根/子集</w:t>
      </w:r>
      <w:bookmarkStart w:id="0" w:name="_GoBack"/>
      <w:bookmarkEnd w:id="0"/>
      <w:r>
        <w:rPr>
          <w:rFonts w:hint="eastAsia" w:ascii="宋体" w:hAnsi="宋体" w:cs="宋体"/>
          <w:color w:val="0000FF"/>
          <w:lang w:val="en-US" w:eastAsia="zh-CN"/>
        </w:rPr>
        <w:t>信息熵</w:t>
      </w:r>
    </w:p>
    <w:p w14:paraId="68AF2008">
      <w:pPr>
        <w:widowControl w:val="0"/>
        <w:numPr>
          <w:ilvl w:val="1"/>
          <w:numId w:val="4"/>
        </w:numPr>
        <w:spacing w:after="160" w:line="278" w:lineRule="auto"/>
        <w:ind w:left="840" w:leftChars="0" w:hanging="420" w:firstLineChars="0"/>
        <w:rPr>
          <w:rFonts w:hint="default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加权平均熵（选取样本其一特征的）</w:t>
      </w:r>
    </w:p>
    <w:p w14:paraId="46ED8C03">
      <w:pPr>
        <w:widowControl w:val="0"/>
        <w:numPr>
          <w:ilvl w:val="1"/>
          <w:numId w:val="4"/>
        </w:numPr>
        <w:spacing w:after="160" w:line="278" w:lineRule="auto"/>
        <w:ind w:left="840" w:leftChars="0" w:hanging="420" w:firstLineChars="0"/>
        <w:rPr>
          <w:rFonts w:hint="default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信息增益（选取样本其一特征的）</w:t>
      </w:r>
    </w:p>
    <w:p w14:paraId="3FFE2CC0">
      <w:pPr>
        <w:widowControl w:val="0"/>
        <w:numPr>
          <w:ilvl w:val="0"/>
          <w:numId w:val="4"/>
        </w:numPr>
        <w:spacing w:after="160" w:line="278" w:lineRule="auto"/>
        <w:rPr>
          <w:rFonts w:hint="default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朴素叶贝斯概率（是/否）（列出检测样本的每一特征是/否概率&amp;联合相乘概率计算）</w:t>
      </w:r>
    </w:p>
    <w:p w14:paraId="5BB586AE">
      <w:r>
        <w:drawing>
          <wp:inline distT="0" distB="0" distL="0" distR="0">
            <wp:extent cx="5083810" cy="2252980"/>
            <wp:effectExtent l="0" t="0" r="2540" b="0"/>
            <wp:docPr id="259136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3687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l="3612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2529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B1E0E">
      <w:pPr>
        <w:rPr>
          <w:b/>
          <w:bCs/>
        </w:rPr>
      </w:pPr>
      <w:r>
        <w:rPr>
          <w:b/>
          <w:bCs/>
        </w:rPr>
        <w:t>2. 按“敲声”划分后的加权平均熵</w:t>
      </w:r>
    </w:p>
    <w:p w14:paraId="1D7CDDCC">
      <w:r>
        <w:t>“敲声”取值包括：浊响、沉闷、清脆。</w:t>
      </w:r>
      <w:r>
        <w:br w:type="textWrapping"/>
      </w:r>
      <w:r>
        <w:t>统计各取值下的样本分布：</w:t>
      </w:r>
    </w:p>
    <w:p w14:paraId="3EC3D42C">
      <w:r>
        <w:drawing>
          <wp:inline distT="0" distB="0" distL="0" distR="0">
            <wp:extent cx="4381500" cy="1737360"/>
            <wp:effectExtent l="0" t="0" r="0" b="0"/>
            <wp:docPr id="1910188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8887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C3DC">
      <w:pPr>
        <w:jc w:val="right"/>
      </w:pPr>
      <w:r>
        <w:drawing>
          <wp:inline distT="0" distB="0" distL="0" distR="0">
            <wp:extent cx="5274310" cy="2499360"/>
            <wp:effectExtent l="0" t="0" r="2540" b="0"/>
            <wp:docPr id="1858299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9985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rcRect b="128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3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238500" cy="624840"/>
            <wp:effectExtent l="0" t="0" r="0" b="3810"/>
            <wp:docPr id="1165593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365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B4E7">
      <w:pPr>
        <w:jc w:val="right"/>
      </w:pPr>
      <w:r>
        <w:drawing>
          <wp:inline distT="0" distB="0" distL="0" distR="0">
            <wp:extent cx="5274310" cy="877570"/>
            <wp:effectExtent l="0" t="0" r="2540" b="0"/>
            <wp:docPr id="1465986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8622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61AF">
      <w:pPr>
        <w:jc w:val="right"/>
        <w:rPr>
          <w:rFonts w:hint="eastAsia"/>
        </w:rPr>
      </w:pPr>
    </w:p>
    <w:p w14:paraId="592B89A3">
      <w:r>
        <w:drawing>
          <wp:inline distT="0" distB="0" distL="0" distR="0">
            <wp:extent cx="4893310" cy="889000"/>
            <wp:effectExtent l="0" t="0" r="2540" b="6350"/>
            <wp:docPr id="210163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3874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rcRect l="7224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889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6BA8">
      <w:r>
        <w:drawing>
          <wp:inline distT="0" distB="0" distL="0" distR="0">
            <wp:extent cx="5593715" cy="1501140"/>
            <wp:effectExtent l="0" t="0" r="6985" b="3810"/>
            <wp:docPr id="328913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398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4125" cy="150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11D9">
      <w:r>
        <w:drawing>
          <wp:inline distT="0" distB="0" distL="0" distR="0">
            <wp:extent cx="2651760" cy="1097280"/>
            <wp:effectExtent l="0" t="0" r="0" b="7620"/>
            <wp:docPr id="537524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2440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4968">
      <w:r>
        <w:drawing>
          <wp:inline distT="0" distB="0" distL="0" distR="0">
            <wp:extent cx="3939540" cy="2758440"/>
            <wp:effectExtent l="0" t="0" r="3810" b="3810"/>
            <wp:docPr id="17519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072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810000" cy="2407920"/>
            <wp:effectExtent l="0" t="0" r="0" b="0"/>
            <wp:docPr id="50809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269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477895"/>
            <wp:effectExtent l="0" t="0" r="2540" b="8255"/>
            <wp:docPr id="76249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9550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4404360" cy="2049780"/>
            <wp:effectExtent l="0" t="0" r="0" b="7620"/>
            <wp:docPr id="1531997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784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93DF"/>
    <w:p w14:paraId="1EBB1FC8">
      <w:pPr>
        <w:pStyle w:val="30"/>
        <w:numPr>
          <w:ilvl w:val="0"/>
          <w:numId w:val="1"/>
        </w:numPr>
      </w:pPr>
      <w:r>
        <w:rPr>
          <w:rFonts w:hint="eastAsia" w:ascii="宋体" w:hAnsi="宋体" w:cs="宋体"/>
        </w:rPr>
        <w:t>真正例率（TPR）、假正例率（FPR）与查准率（P）及查全率（R）的定义，并说明这几个指标之间的联系</w:t>
      </w:r>
    </w:p>
    <w:p w14:paraId="284B6465">
      <w:pPr>
        <w:pStyle w:val="30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ascii="宋体" w:hAnsi="宋体" w:cs="宋体"/>
          <w:lang w:val="en-US" w:eastAsia="zh-CN"/>
        </w:rPr>
      </w:pPr>
    </w:p>
    <w:p w14:paraId="09CB18A1">
      <w:pPr>
        <w:pStyle w:val="30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T：True</w:t>
      </w:r>
    </w:p>
    <w:p w14:paraId="0A9D9B21">
      <w:pPr>
        <w:pStyle w:val="30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F：False</w:t>
      </w:r>
    </w:p>
    <w:p w14:paraId="28BF4C7D">
      <w:pPr>
        <w:pStyle w:val="30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P：Postive</w:t>
      </w:r>
    </w:p>
    <w:p w14:paraId="2608B177">
      <w:pPr>
        <w:pStyle w:val="30"/>
        <w:widowControl w:val="0"/>
        <w:numPr>
          <w:ilvl w:val="0"/>
          <w:numId w:val="0"/>
        </w:numPr>
        <w:spacing w:after="160" w:line="278" w:lineRule="auto"/>
        <w:contextualSpacing/>
        <w:rPr>
          <w:rFonts w:hint="eastAsia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N：Negative</w:t>
      </w:r>
    </w:p>
    <w:p w14:paraId="6252B67F">
      <w:pPr>
        <w:pStyle w:val="30"/>
        <w:widowControl w:val="0"/>
        <w:numPr>
          <w:ilvl w:val="0"/>
          <w:numId w:val="0"/>
        </w:numPr>
        <w:spacing w:after="160" w:line="278" w:lineRule="auto"/>
        <w:contextualSpacing/>
        <w:rPr>
          <w:rFonts w:hint="default" w:ascii="宋体" w:hAnsi="宋体" w:cs="宋体"/>
          <w:color w:val="0000FF"/>
          <w:lang w:val="en-US" w:eastAsia="zh-CN"/>
        </w:rPr>
      </w:pPr>
      <w:r>
        <w:rPr>
          <w:rFonts w:hint="eastAsia" w:ascii="宋体" w:hAnsi="宋体" w:cs="宋体"/>
          <w:color w:val="0000FF"/>
          <w:lang w:val="en-US" w:eastAsia="zh-CN"/>
        </w:rPr>
        <w:t>表格识别：T/F（预测结果是否正确）+P/N（预测结果值）</w:t>
      </w:r>
    </w:p>
    <w:p w14:paraId="71E1A652">
      <w:r>
        <w:drawing>
          <wp:inline distT="0" distB="0" distL="0" distR="0">
            <wp:extent cx="5067300" cy="3649980"/>
            <wp:effectExtent l="0" t="0" r="0" b="7620"/>
            <wp:docPr id="165093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3994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25D6">
      <w:r>
        <w:drawing>
          <wp:inline distT="0" distB="0" distL="0" distR="0">
            <wp:extent cx="4853940" cy="2872740"/>
            <wp:effectExtent l="0" t="0" r="3810" b="3810"/>
            <wp:docPr id="640441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1644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2901950"/>
            <wp:effectExtent l="0" t="0" r="2540" b="0"/>
            <wp:docPr id="2144970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7037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7901"/>
    <w:p w14:paraId="0BD8131A"/>
    <w:p w14:paraId="285BFC44"/>
    <w:p w14:paraId="56DF437E"/>
    <w:p w14:paraId="4954F288"/>
    <w:p w14:paraId="7EAB1822"/>
    <w:p w14:paraId="54B4B323"/>
    <w:p w14:paraId="731A6AB2"/>
    <w:p w14:paraId="781C621B"/>
    <w:p w14:paraId="4CAC0848"/>
    <w:p w14:paraId="106587F7"/>
    <w:p w14:paraId="6A49E634"/>
    <w:p w14:paraId="281E4DB7"/>
    <w:p w14:paraId="66D17BEF"/>
    <w:p w14:paraId="7858A433"/>
    <w:p w14:paraId="0BB92AB0"/>
    <w:p w14:paraId="798EB5D7"/>
    <w:p w14:paraId="2CF1C710">
      <w:r>
        <w:rPr>
          <w:rFonts w:hint="eastAsia"/>
        </w:rPr>
        <w:t>SVM 与 松弛因子</w:t>
      </w:r>
    </w:p>
    <w:p w14:paraId="3FD5653A">
      <w:r>
        <w:drawing>
          <wp:inline distT="0" distB="0" distL="0" distR="0">
            <wp:extent cx="3977640" cy="2308860"/>
            <wp:effectExtent l="0" t="0" r="3810" b="0"/>
            <wp:docPr id="22182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1522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DAFB">
      <w:r>
        <w:t>这个公式描述了一个支持向量机（SVM）问题，通过最小化权重向量的平方和加上惩罚项，并满足一系列约束条件，来找到一个权重向量 ww 和偏置 w0w0</w:t>
      </w:r>
      <w:r>
        <w:rPr>
          <w:rFonts w:ascii="Times New Roman" w:hAnsi="Times New Roman" w:cs="Times New Roman"/>
        </w:rPr>
        <w:t>​</w:t>
      </w:r>
      <w:r>
        <w:t>，使得分类器在尽量小的复杂度下满足给定的边界条件。通过引入松弛变量 ξiξi</w:t>
      </w:r>
      <w:r>
        <w:rPr>
          <w:rFonts w:ascii="Times New Roman" w:hAnsi="Times New Roman" w:cs="Times New Roman"/>
        </w:rPr>
        <w:t>​</w:t>
      </w:r>
      <w:r>
        <w:t>，可以处理一些不满足严格边界条件的样本，从而增强模型的鲁棒性。</w:t>
      </w:r>
    </w:p>
    <w:p w14:paraId="6C4C3081">
      <w:pPr>
        <w:rPr>
          <w:rFonts w:hint="eastAsia"/>
        </w:rPr>
      </w:pPr>
      <w:r>
        <w:drawing>
          <wp:inline distT="0" distB="0" distL="0" distR="0">
            <wp:extent cx="5274310" cy="2312670"/>
            <wp:effectExtent l="0" t="0" r="2540" b="0"/>
            <wp:docPr id="978900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019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1483360"/>
            <wp:effectExtent l="0" t="0" r="2540" b="2540"/>
            <wp:docPr id="86854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4858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40D74"/>
    <w:multiLevelType w:val="multilevel"/>
    <w:tmpl w:val="8A040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058C881"/>
    <w:multiLevelType w:val="singleLevel"/>
    <w:tmpl w:val="1058C88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ECE6B14"/>
    <w:multiLevelType w:val="multilevel"/>
    <w:tmpl w:val="1ECE6B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8992E4B"/>
    <w:multiLevelType w:val="multilevel"/>
    <w:tmpl w:val="28992E4B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FA6"/>
    <w:rsid w:val="001C5335"/>
    <w:rsid w:val="00255169"/>
    <w:rsid w:val="002C0B78"/>
    <w:rsid w:val="003B7D32"/>
    <w:rsid w:val="004B3D42"/>
    <w:rsid w:val="00571EB3"/>
    <w:rsid w:val="005E14FA"/>
    <w:rsid w:val="00A65D65"/>
    <w:rsid w:val="00AD61D3"/>
    <w:rsid w:val="00B20DD6"/>
    <w:rsid w:val="00B71B8D"/>
    <w:rsid w:val="00C6066F"/>
    <w:rsid w:val="00C72E34"/>
    <w:rsid w:val="00D168D6"/>
    <w:rsid w:val="00D573A3"/>
    <w:rsid w:val="00EF5891"/>
    <w:rsid w:val="00FF5FA6"/>
    <w:rsid w:val="012A19DD"/>
    <w:rsid w:val="02E63B60"/>
    <w:rsid w:val="031C2553"/>
    <w:rsid w:val="0765096C"/>
    <w:rsid w:val="077A1F3E"/>
    <w:rsid w:val="08D613F6"/>
    <w:rsid w:val="09D13917"/>
    <w:rsid w:val="0B226B74"/>
    <w:rsid w:val="0BA675DA"/>
    <w:rsid w:val="0C3C5A14"/>
    <w:rsid w:val="0C61547A"/>
    <w:rsid w:val="0D8458C4"/>
    <w:rsid w:val="0E4A241F"/>
    <w:rsid w:val="0E7479E9"/>
    <w:rsid w:val="102D2243"/>
    <w:rsid w:val="13097CA3"/>
    <w:rsid w:val="156A35F2"/>
    <w:rsid w:val="16377978"/>
    <w:rsid w:val="17DE3E23"/>
    <w:rsid w:val="181D3307"/>
    <w:rsid w:val="188A384C"/>
    <w:rsid w:val="190A1374"/>
    <w:rsid w:val="1AA52FDF"/>
    <w:rsid w:val="1AFE7557"/>
    <w:rsid w:val="1BDF3261"/>
    <w:rsid w:val="1C07602A"/>
    <w:rsid w:val="1D440BCC"/>
    <w:rsid w:val="1D5C5F16"/>
    <w:rsid w:val="1E0D5462"/>
    <w:rsid w:val="201C79BC"/>
    <w:rsid w:val="20280331"/>
    <w:rsid w:val="202866BE"/>
    <w:rsid w:val="212A1E87"/>
    <w:rsid w:val="229E0D7F"/>
    <w:rsid w:val="23F76691"/>
    <w:rsid w:val="25DF1492"/>
    <w:rsid w:val="265005E2"/>
    <w:rsid w:val="265D679B"/>
    <w:rsid w:val="2668592C"/>
    <w:rsid w:val="27351CB2"/>
    <w:rsid w:val="27AE3812"/>
    <w:rsid w:val="27B70919"/>
    <w:rsid w:val="28612632"/>
    <w:rsid w:val="29F75E09"/>
    <w:rsid w:val="2A2B739C"/>
    <w:rsid w:val="2AD22E02"/>
    <w:rsid w:val="2D5C786C"/>
    <w:rsid w:val="2DB9081B"/>
    <w:rsid w:val="2F1523C9"/>
    <w:rsid w:val="31374878"/>
    <w:rsid w:val="317258B0"/>
    <w:rsid w:val="31CD6F8B"/>
    <w:rsid w:val="334E53C6"/>
    <w:rsid w:val="335C4122"/>
    <w:rsid w:val="33AB50A9"/>
    <w:rsid w:val="34DF325D"/>
    <w:rsid w:val="34ED301F"/>
    <w:rsid w:val="359C2EFC"/>
    <w:rsid w:val="38F8669B"/>
    <w:rsid w:val="393E28D8"/>
    <w:rsid w:val="3B5D137F"/>
    <w:rsid w:val="3BF75330"/>
    <w:rsid w:val="3C1277A8"/>
    <w:rsid w:val="3CE07B72"/>
    <w:rsid w:val="3E083824"/>
    <w:rsid w:val="3EA32A27"/>
    <w:rsid w:val="3FA806EF"/>
    <w:rsid w:val="4025187E"/>
    <w:rsid w:val="40330901"/>
    <w:rsid w:val="46A72251"/>
    <w:rsid w:val="49773A63"/>
    <w:rsid w:val="49DB003F"/>
    <w:rsid w:val="4E4A5793"/>
    <w:rsid w:val="50510741"/>
    <w:rsid w:val="5079410E"/>
    <w:rsid w:val="51263104"/>
    <w:rsid w:val="52AB1D72"/>
    <w:rsid w:val="52CF270B"/>
    <w:rsid w:val="5355559A"/>
    <w:rsid w:val="53FC1520"/>
    <w:rsid w:val="54047867"/>
    <w:rsid w:val="544E765F"/>
    <w:rsid w:val="5621327D"/>
    <w:rsid w:val="57931F59"/>
    <w:rsid w:val="57E06B2A"/>
    <w:rsid w:val="588B70D4"/>
    <w:rsid w:val="594B0611"/>
    <w:rsid w:val="5B265BB3"/>
    <w:rsid w:val="5C9D30FF"/>
    <w:rsid w:val="5D607E16"/>
    <w:rsid w:val="5DDD2180"/>
    <w:rsid w:val="5E4D4486"/>
    <w:rsid w:val="5E7128C8"/>
    <w:rsid w:val="5EE412EC"/>
    <w:rsid w:val="5FB92B44"/>
    <w:rsid w:val="610B7004"/>
    <w:rsid w:val="616563B2"/>
    <w:rsid w:val="621A209F"/>
    <w:rsid w:val="636B296D"/>
    <w:rsid w:val="63972DD1"/>
    <w:rsid w:val="653D52B2"/>
    <w:rsid w:val="65E322FD"/>
    <w:rsid w:val="67C47F0C"/>
    <w:rsid w:val="683F03A8"/>
    <w:rsid w:val="68AC2199"/>
    <w:rsid w:val="68EA39A3"/>
    <w:rsid w:val="69513A22"/>
    <w:rsid w:val="69DA57C5"/>
    <w:rsid w:val="69F543AD"/>
    <w:rsid w:val="6A051C49"/>
    <w:rsid w:val="6A1231B1"/>
    <w:rsid w:val="6A420314"/>
    <w:rsid w:val="6C580C23"/>
    <w:rsid w:val="6D1E00BF"/>
    <w:rsid w:val="6DDB5FB0"/>
    <w:rsid w:val="6DDE33AA"/>
    <w:rsid w:val="70394100"/>
    <w:rsid w:val="721224D5"/>
    <w:rsid w:val="727A287F"/>
    <w:rsid w:val="73442667"/>
    <w:rsid w:val="7447614D"/>
    <w:rsid w:val="744D4DE6"/>
    <w:rsid w:val="773776E0"/>
    <w:rsid w:val="77770AF7"/>
    <w:rsid w:val="7BE57C95"/>
    <w:rsid w:val="7BE870EF"/>
    <w:rsid w:val="7C2F7BF3"/>
    <w:rsid w:val="7DA60731"/>
    <w:rsid w:val="7E0660C3"/>
    <w:rsid w:val="7EF70770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1522</Words>
  <Characters>1672</Characters>
  <Lines>97</Lines>
  <Paragraphs>62</Paragraphs>
  <TotalTime>124</TotalTime>
  <ScaleCrop>false</ScaleCrop>
  <LinksUpToDate>false</LinksUpToDate>
  <CharactersWithSpaces>1685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2025-04-23T00:14:00Z</dcterms:created>
  <dc:creator>niemx</dc:creator>
  <cp:lastModifiedBy>aha</cp:lastModifiedBy>
  <dcterms:modified xsi:type="dcterms:W3CDTF">2025-06-06T05:16:45Z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eyJoZGlkIjoiZWQ5MTRiZGUwODBiYjE5MmE3MWVlNjgwYmM3NWFlOWUiLCJ1c2VySWQiOiI3Nzc5NzQ4ODcifQ==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85A02368B41441669FB04F5B5C7B7BD1_12</vt:lpwstr>
  </property>
</Properties>
</file>