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2F392" w14:textId="77777777" w:rsidR="00AD573D" w:rsidRDefault="00000000">
      <w:pPr>
        <w:pStyle w:val="2"/>
        <w:spacing w:before="0" w:after="12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一、 基础概念：监督 vs 无监督</w:t>
      </w:r>
    </w:p>
    <w:p w14:paraId="2E571B35" w14:textId="77777777" w:rsidR="00AD57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监督学习</w:t>
      </w:r>
      <w:r>
        <w:rPr>
          <w:rFonts w:ascii="Arial Unicode MS" w:eastAsia="Arial Unicode MS" w:hAnsi="Arial Unicode MS" w:cs="Arial Unicode MS"/>
          <w:color w:val="1F1F1F"/>
        </w:rPr>
        <w:t>：数据有标签（有标准答案）。学的是“特征到标签的映射”（输入到输出的关系）。</w:t>
      </w:r>
    </w:p>
    <w:p w14:paraId="5EBB7AB2" w14:textId="77777777" w:rsidR="00AD573D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例子：给西瓜特征和“好瓜/坏瓜”标签。</w:t>
      </w:r>
    </w:p>
    <w:p w14:paraId="595EF294" w14:textId="77777777" w:rsidR="00AD57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无监督学习</w:t>
      </w:r>
      <w:r>
        <w:rPr>
          <w:rFonts w:ascii="Arial Unicode MS" w:eastAsia="Arial Unicode MS" w:hAnsi="Arial Unicode MS" w:cs="Arial Unicode MS"/>
          <w:color w:val="1F1F1F"/>
        </w:rPr>
        <w:t>：数据无标签（无标准答案）。学的是“数据自身的内在结构”。</w:t>
      </w:r>
    </w:p>
    <w:p w14:paraId="2A8CF188" w14:textId="77777777" w:rsidR="00AD573D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例子：聚类、降维、异常检测。</w:t>
      </w:r>
    </w:p>
    <w:p w14:paraId="7C1AB91B" w14:textId="77777777" w:rsidR="00AD57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Arial Unicode MS" w:eastAsia="Arial Unicode MS" w:hAnsi="Arial Unicode MS" w:cs="Arial Unicode MS"/>
          <w:color w:val="1F1F1F"/>
        </w:rPr>
        <w:t>【考点陷阱】：监督学习需标注数据，无监督不需标注数据。（正确）</w:t>
      </w:r>
    </w:p>
    <w:p w14:paraId="283C44AF" w14:textId="77777777" w:rsidR="00AD573D" w:rsidRPr="001B4B27" w:rsidRDefault="00000000">
      <w:pPr>
        <w:pStyle w:val="2"/>
        <w:spacing w:before="120" w:after="120" w:line="275" w:lineRule="auto"/>
        <w:rPr>
          <w:color w:val="1F1F1F"/>
          <w:sz w:val="30"/>
          <w:szCs w:val="30"/>
        </w:rPr>
      </w:pPr>
      <w:r w:rsidRPr="001B4B27">
        <w:rPr>
          <w:rFonts w:ascii="Arial Unicode MS" w:eastAsia="Arial Unicode MS" w:hAnsi="Arial Unicode MS" w:cs="Arial Unicode MS"/>
          <w:color w:val="1F1F1F"/>
          <w:sz w:val="30"/>
          <w:szCs w:val="30"/>
        </w:rPr>
        <w:t>二、 泛化、过拟合与误差分解</w:t>
      </w:r>
    </w:p>
    <w:p w14:paraId="2B23BB6D" w14:textId="77777777" w:rsidR="00AD573D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过拟合</w:t>
      </w:r>
      <w:r>
        <w:rPr>
          <w:rFonts w:ascii="Arial Unicode MS" w:eastAsia="Arial Unicode MS" w:hAnsi="Arial Unicode MS" w:cs="Arial Unicode MS"/>
          <w:color w:val="1F1F1F"/>
        </w:rPr>
        <w:t>：平时测验满分（训练集好），期末考试不及格（测试集差）。</w:t>
      </w:r>
    </w:p>
    <w:p w14:paraId="14DA13E0" w14:textId="77777777" w:rsidR="00AD573D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原因不仅是模型太复杂！ 还包括：数据少、噪声多、特征过多、反复在验证集上调参（把验证集变成了变相的训练集）。</w:t>
      </w:r>
    </w:p>
    <w:p w14:paraId="0D393299" w14:textId="77777777" w:rsidR="00AD573D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【考点陷阱】：过拟合仅在模型复杂度过高时发生。（错误）</w:t>
      </w:r>
    </w:p>
    <w:p w14:paraId="6656D03A" w14:textId="77777777" w:rsidR="00AD573D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泛化误差分解</w:t>
      </w:r>
      <w:r>
        <w:rPr>
          <w:rFonts w:ascii="Arial Unicode MS" w:eastAsia="Arial Unicode MS" w:hAnsi="Arial Unicode MS" w:cs="Arial Unicode MS"/>
          <w:color w:val="1F1F1F"/>
        </w:rPr>
        <w:t>：泛化误差 = 偏差 + 方差 + 噪声</w:t>
      </w:r>
    </w:p>
    <w:p w14:paraId="2B7F2733" w14:textId="77777777" w:rsidR="00AD573D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核心公式（平方形式）：</w:t>
      </w:r>
      <w:r>
        <w:rPr>
          <w:noProof/>
          <w:color w:val="1F1F1F"/>
        </w:rPr>
        <w:drawing>
          <wp:inline distT="19050" distB="19050" distL="19050" distR="19050" wp14:anchorId="774352D0" wp14:editId="6CCCE787">
            <wp:extent cx="2832497" cy="248241"/>
            <wp:effectExtent l="0" t="0" r="0" b="0"/>
            <wp:docPr id="3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497" cy="2482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0F991B" w14:textId="77777777" w:rsidR="00AD573D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偏差 (Bias)：模型本身的预测能力差（太笨，易欠拟合）。</w:t>
      </w:r>
    </w:p>
    <w:p w14:paraId="197188E3" w14:textId="77777777" w:rsidR="00AD573D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方差 (Variance)：模型对数据变动太敏感（太死记硬背，易过拟合）。</w:t>
      </w:r>
    </w:p>
    <w:p w14:paraId="339D2B68" w14:textId="77777777" w:rsidR="00AD573D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 xml:space="preserve">噪声 (Noise, </w:t>
      </w:r>
      <w:r>
        <w:rPr>
          <w:noProof/>
          <w:color w:val="1F1F1F"/>
        </w:rPr>
        <w:drawing>
          <wp:inline distT="19050" distB="19050" distL="19050" distR="19050" wp14:anchorId="0BDB0A86" wp14:editId="6D2F807B">
            <wp:extent cx="79573" cy="258614"/>
            <wp:effectExtent l="0" t="0" r="0" b="0"/>
            <wp:docPr id="3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73" cy="2586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>)：数据本身的随机误差（不可抗力）。</w:t>
      </w:r>
    </w:p>
    <w:p w14:paraId="2F96FE70" w14:textId="77777777" w:rsidR="00AD573D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K折交叉验证</w:t>
      </w:r>
      <w:r>
        <w:rPr>
          <w:rFonts w:ascii="Arial Unicode MS" w:eastAsia="Arial Unicode MS" w:hAnsi="Arial Unicode MS" w:cs="Arial Unicode MS"/>
          <w:color w:val="1F1F1F"/>
        </w:rPr>
        <w:t>：把数据分 K 份，每次用 K-1 份训练，1 份测试，重复 K 次取平均。</w:t>
      </w:r>
    </w:p>
    <w:p w14:paraId="4EABD75E" w14:textId="77777777" w:rsidR="00AD573D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目的：更客观地评估模型的泛化能力，不是为了提高训练集准确率。</w:t>
      </w:r>
    </w:p>
    <w:p w14:paraId="31721255" w14:textId="77777777" w:rsidR="00AD573D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【经典简答题】：为什么竞赛调参本地提升，官方测试集却下降？</w:t>
      </w:r>
    </w:p>
    <w:p w14:paraId="003610EA" w14:textId="77777777" w:rsidR="00AD573D" w:rsidRDefault="00000000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Arial Unicode MS" w:eastAsia="Arial Unicode MS" w:hAnsi="Arial Unicode MS" w:cs="Arial Unicode MS"/>
          <w:color w:val="1F1F1F"/>
        </w:rPr>
        <w:t>答题模板：发生了对本地测试集/验证集的过拟合。反复调参让模型记住了本地数据的偶然规律（噪声）。官方测试集分布可能不同。解决办法：使用交叉验证，避免对同一验证集反复调参。</w:t>
      </w:r>
    </w:p>
    <w:p w14:paraId="35337FCE" w14:textId="77777777" w:rsidR="00AD573D" w:rsidRDefault="00000000">
      <w:pPr>
        <w:pStyle w:val="2"/>
        <w:spacing w:before="120" w:after="12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三、 决策树与随机森林</w:t>
      </w:r>
    </w:p>
    <w:p w14:paraId="13BACE6B" w14:textId="77777777" w:rsidR="00AD573D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核心计算公式（必考）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008D92CD" w14:textId="77777777" w:rsidR="00AD573D" w:rsidRDefault="00000000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信息熵</w:t>
      </w:r>
      <w:r>
        <w:rPr>
          <w:rFonts w:ascii="Arial Unicode MS" w:eastAsia="Arial Unicode MS" w:hAnsi="Arial Unicode MS" w:cs="Arial Unicode MS"/>
          <w:color w:val="1F1F1F"/>
        </w:rPr>
        <w:t>（衡量混乱程度）：</w:t>
      </w:r>
      <w:r>
        <w:rPr>
          <w:noProof/>
          <w:color w:val="1F1F1F"/>
        </w:rPr>
        <w:drawing>
          <wp:inline distT="19050" distB="19050" distL="19050" distR="19050" wp14:anchorId="5260EBAA" wp14:editId="6B3DB1B2">
            <wp:extent cx="2375897" cy="267527"/>
            <wp:effectExtent l="0" t="0" r="0" b="0"/>
            <wp:docPr id="3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5897" cy="2675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45713A" w14:textId="77777777" w:rsidR="00AD573D" w:rsidRDefault="00000000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信息增益</w:t>
      </w:r>
      <w:r>
        <w:rPr>
          <w:rFonts w:ascii="Arial Unicode MS" w:eastAsia="Arial Unicode MS" w:hAnsi="Arial Unicode MS" w:cs="Arial Unicode MS"/>
          <w:color w:val="1F1F1F"/>
        </w:rPr>
        <w:t>（ID3准则，衡量划分后混乱程度下降多少）：</w:t>
      </w:r>
      <w:r>
        <w:rPr>
          <w:noProof/>
          <w:color w:val="1F1F1F"/>
        </w:rPr>
        <w:drawing>
          <wp:inline distT="19050" distB="19050" distL="19050" distR="19050" wp14:anchorId="38D6EACE" wp14:editId="27FAC577">
            <wp:extent cx="3661667" cy="292425"/>
            <wp:effectExtent l="0" t="0" r="0" b="0"/>
            <wp:docPr id="3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1667" cy="29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5A519" w14:textId="77777777" w:rsidR="00AD573D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划分准则（必背对应关系）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526B8C05" w14:textId="77777777" w:rsidR="00AD573D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ID3 -&gt; 信息增益</w:t>
      </w:r>
    </w:p>
    <w:p w14:paraId="02E770CA" w14:textId="77777777" w:rsidR="00AD573D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C4.5 -&gt; 增益率</w:t>
      </w:r>
    </w:p>
    <w:p w14:paraId="03DEA81D" w14:textId="77777777" w:rsidR="00AD573D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CART -&gt; 基尼指数</w:t>
      </w:r>
    </w:p>
    <w:p w14:paraId="0FE412E4" w14:textId="77777777" w:rsidR="00AD573D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剪枝（防过拟合）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3BB581B2" w14:textId="77777777" w:rsidR="00AD573D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预剪枝：边建树边剪（速度快，但可能剪错）。</w:t>
      </w:r>
    </w:p>
    <w:p w14:paraId="3D3D6231" w14:textId="77777777" w:rsidR="00AD573D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lastRenderedPageBreak/>
        <w:t>后剪枝：建完树再从下往上剪（效果稳，计算慢）。</w:t>
      </w:r>
    </w:p>
    <w:p w14:paraId="76ECCFC2" w14:textId="77777777" w:rsidR="00AD573D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【考点陷阱】：决策树只能预剪枝。（错误，有预剪枝和后剪枝）</w:t>
      </w:r>
    </w:p>
    <w:p w14:paraId="75EB3D22" w14:textId="77777777" w:rsidR="00AD573D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随机森林 (Random Forest)</w:t>
      </w:r>
      <w:r>
        <w:rPr>
          <w:rFonts w:ascii="Arial Unicode MS" w:eastAsia="Arial Unicode MS" w:hAnsi="Arial Unicode MS" w:cs="Arial Unicode MS"/>
          <w:color w:val="1F1F1F"/>
        </w:rPr>
        <w:t>：集成学习 Bagging 的代表。</w:t>
      </w:r>
    </w:p>
    <w:p w14:paraId="5C9544B3" w14:textId="77777777" w:rsidR="00AD573D" w:rsidRDefault="00000000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两大法宝（两大随机性）：1. 样本随机采样（有放回抽样）；2. 特征随机选择。</w:t>
      </w:r>
    </w:p>
    <w:p w14:paraId="314FACED" w14:textId="7D7709CF" w:rsidR="001B4B27" w:rsidRDefault="00000000" w:rsidP="001B4B27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Arial Unicode MS" w:eastAsia="Arial Unicode MS" w:hAnsi="Arial Unicode MS" w:cs="Arial Unicode MS"/>
          <w:color w:val="1F1F1F"/>
        </w:rPr>
        <w:t>【考点陷阱】：每棵树的训练数据是原始数据的子集。（正确，具体为有放回抽样的子集）</w:t>
      </w:r>
    </w:p>
    <w:p w14:paraId="7EED1AA4" w14:textId="77777777" w:rsidR="00AD573D" w:rsidRDefault="00000000">
      <w:pPr>
        <w:pStyle w:val="3"/>
        <w:spacing w:before="120" w:after="120" w:line="275" w:lineRule="auto"/>
        <w:rPr>
          <w:rFonts w:ascii="Arial Unicode MS" w:eastAsia="Arial Unicode MS" w:hAnsi="Arial Unicode MS" w:cs="Arial Unicode MS"/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【计算题真题：决策树信息增益计算】</w:t>
      </w:r>
    </w:p>
    <w:p w14:paraId="08093321" w14:textId="3B4DD595" w:rsidR="001B4B27" w:rsidRPr="001B4B27" w:rsidRDefault="001B4B27" w:rsidP="001B4B27">
      <w:r w:rsidRPr="001B4B27">
        <w:drawing>
          <wp:inline distT="0" distB="0" distL="0" distR="0" wp14:anchorId="34078A53" wp14:editId="3043D7E5">
            <wp:extent cx="5943600" cy="3698875"/>
            <wp:effectExtent l="0" t="0" r="0" b="0"/>
            <wp:docPr id="550832330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98CA78C0-F208-D83D-C1CF-E4B619F8B7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98CA78C0-F208-D83D-C1CF-E4B619F8B7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B2FF" w14:textId="77777777" w:rsidR="001B4B27" w:rsidRPr="001B4B27" w:rsidRDefault="001B4B27" w:rsidP="001B4B27"/>
    <w:p w14:paraId="692405C7" w14:textId="77777777" w:rsidR="00AD573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b/>
          <w:bCs/>
          <w:color w:val="1F1F1F"/>
        </w:rPr>
      </w:pPr>
      <w:r>
        <w:rPr>
          <w:rFonts w:ascii="Arial Unicode MS" w:eastAsia="Arial Unicode MS" w:hAnsi="Arial Unicode MS" w:cs="Arial Unicode MS"/>
          <w:b/>
          <w:bCs/>
          <w:color w:val="1F1F1F"/>
        </w:rPr>
        <w:t>题目背景（数据集）：</w:t>
      </w:r>
    </w:p>
    <w:tbl>
      <w:tblPr>
        <w:tblStyle w:val="a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D573D" w14:paraId="5E585BAF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E9B68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编号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9C9EC7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色泽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40266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根蒂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CCF2E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敲声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50687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好瓜 (标签)</w:t>
            </w:r>
          </w:p>
        </w:tc>
      </w:tr>
      <w:tr w:rsidR="00AD573D" w14:paraId="024E0D56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21EF7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eastAsia="Arial"/>
                <w:color w:val="1F1F1F"/>
              </w:rPr>
              <w:t>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2AD420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青绿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8CD22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蜷缩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24E6B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浊响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73A21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是</w:t>
            </w:r>
          </w:p>
        </w:tc>
      </w:tr>
      <w:tr w:rsidR="00AD573D" w14:paraId="6D58534B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624DC6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eastAsia="Arial"/>
                <w:color w:val="1F1F1F"/>
              </w:rPr>
              <w:t>2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E5AE1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乌黑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1522F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蜷缩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A8135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清脆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BA791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否</w:t>
            </w:r>
          </w:p>
        </w:tc>
      </w:tr>
      <w:tr w:rsidR="00AD573D" w14:paraId="3A94A3DB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05A7B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eastAsia="Arial"/>
                <w:color w:val="1F1F1F"/>
              </w:rPr>
              <w:t>3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1C12CE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浅白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A0E86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硬挺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C1288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清脆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BFBBCE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否</w:t>
            </w:r>
          </w:p>
        </w:tc>
      </w:tr>
      <w:tr w:rsidR="00AD573D" w14:paraId="26EB50BF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ED01D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eastAsia="Arial"/>
                <w:color w:val="1F1F1F"/>
              </w:rPr>
              <w:t>4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2D449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青绿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76AFCA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蜷缩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2A5DB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沉闷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E1BBB8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是</w:t>
            </w:r>
          </w:p>
        </w:tc>
      </w:tr>
      <w:tr w:rsidR="00AD573D" w14:paraId="176295CA" w14:textId="77777777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56D21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eastAsia="Arial"/>
                <w:color w:val="1F1F1F"/>
              </w:rPr>
              <w:t>5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8583E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乌黑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1E006A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稍蜷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2BDB3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浊响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3431AD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color w:val="1F1F1F"/>
              </w:rPr>
              <w:t>是</w:t>
            </w:r>
          </w:p>
        </w:tc>
      </w:tr>
    </w:tbl>
    <w:p w14:paraId="3C1914FD" w14:textId="77777777" w:rsidR="00AD573D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187" w:line="275" w:lineRule="auto"/>
        <w:rPr>
          <w:b/>
          <w:bCs/>
          <w:color w:val="1F1F1F"/>
        </w:rPr>
      </w:pPr>
      <w:r>
        <w:rPr>
          <w:rFonts w:ascii="Arial Unicode MS" w:eastAsia="Arial Unicode MS" w:hAnsi="Arial Unicode MS" w:cs="Arial Unicode MS"/>
          <w:b/>
          <w:bCs/>
          <w:color w:val="1F1F1F"/>
        </w:rPr>
        <w:lastRenderedPageBreak/>
        <w:t>题目要求：</w:t>
      </w:r>
    </w:p>
    <w:p w14:paraId="29470700" w14:textId="77777777" w:rsidR="00AD573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使用上述数据集，采用 ID3 学习算法训练决策树，若以信息增益准则选择划分属性，请计算选择“色泽”作为划分属性的信息增益。要求有计算过程，用分数表示概率即可。根节点的信息熵已知为：</w:t>
      </w:r>
    </w:p>
    <w:p w14:paraId="24E463B8" w14:textId="77777777" w:rsidR="00AD573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noProof/>
          <w:color w:val="1F1F1F"/>
        </w:rPr>
        <w:drawing>
          <wp:inline distT="19050" distB="19050" distL="19050" distR="19050" wp14:anchorId="5A763DE5" wp14:editId="053167F7">
            <wp:extent cx="2725245" cy="247750"/>
            <wp:effectExtent l="0" t="0" r="0" b="0"/>
            <wp:docPr id="3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5245" cy="2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23FB7" w14:textId="77777777" w:rsidR="00AD573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bCs/>
          <w:color w:val="1F1F1F"/>
        </w:rPr>
      </w:pPr>
      <w:r>
        <w:rPr>
          <w:rFonts w:ascii="Arial Unicode MS" w:eastAsia="Arial Unicode MS" w:hAnsi="Arial Unicode MS" w:cs="Arial Unicode MS"/>
          <w:b/>
          <w:bCs/>
          <w:color w:val="1F1F1F"/>
        </w:rPr>
        <w:t>解答过程：</w:t>
      </w:r>
    </w:p>
    <w:p w14:paraId="64E34052" w14:textId="77777777" w:rsidR="00AD573D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分析特征“色泽”的取值</w:t>
      </w:r>
      <w:r>
        <w:rPr>
          <w:rFonts w:ascii="Arial Unicode MS" w:eastAsia="Arial Unicode MS" w:hAnsi="Arial Unicode MS" w:cs="Arial Unicode MS"/>
          <w:color w:val="1F1F1F"/>
        </w:rPr>
        <w:t xml:space="preserve">：“色泽”属性有3个可能取值：{青绿, 乌黑, 浅白}。我们将数据集 </w:t>
      </w:r>
      <w:r>
        <w:rPr>
          <w:noProof/>
          <w:color w:val="1F1F1F"/>
        </w:rPr>
        <w:drawing>
          <wp:inline distT="19050" distB="19050" distL="19050" distR="19050" wp14:anchorId="536E262D" wp14:editId="43BB7612">
            <wp:extent cx="167581" cy="242061"/>
            <wp:effectExtent l="0" t="0" r="0" b="0"/>
            <wp:docPr id="3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581" cy="242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 划分为3个子集 </w:t>
      </w:r>
      <w:r>
        <w:rPr>
          <w:noProof/>
          <w:color w:val="1F1F1F"/>
        </w:rPr>
        <w:drawing>
          <wp:inline distT="19050" distB="19050" distL="19050" distR="19050" wp14:anchorId="09AD75B2" wp14:editId="5E88E961">
            <wp:extent cx="911821" cy="246951"/>
            <wp:effectExtent l="0" t="0" r="0" b="0"/>
            <wp:docPr id="3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1821" cy="2469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>。</w:t>
      </w:r>
    </w:p>
    <w:p w14:paraId="7D2778C1" w14:textId="77777777" w:rsidR="00AD573D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计算各子集的信息熵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6E5084B0" w14:textId="77777777" w:rsidR="00AD573D" w:rsidRDefault="00000000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noProof/>
          <w:color w:val="1F1F1F"/>
        </w:rPr>
        <w:drawing>
          <wp:inline distT="19050" distB="19050" distL="19050" distR="19050" wp14:anchorId="456E2586" wp14:editId="2DA2661D">
            <wp:extent cx="245864" cy="245864"/>
            <wp:effectExtent l="0" t="0" r="0" b="0"/>
            <wp:docPr id="41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864" cy="245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 (色泽=青绿)：包含样本 {1, 4}，正例2，反例0。</w:t>
      </w:r>
      <w:r>
        <w:rPr>
          <w:noProof/>
          <w:color w:val="1F1F1F"/>
        </w:rPr>
        <w:drawing>
          <wp:inline distT="19050" distB="19050" distL="19050" distR="19050" wp14:anchorId="4A34379B" wp14:editId="504623AD">
            <wp:extent cx="2633263" cy="248061"/>
            <wp:effectExtent l="0" t="0" r="0" b="0"/>
            <wp:docPr id="4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3263" cy="248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FF4874" w14:textId="77777777" w:rsidR="00AD573D" w:rsidRDefault="00000000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noProof/>
          <w:color w:val="1F1F1F"/>
        </w:rPr>
        <w:drawing>
          <wp:inline distT="19050" distB="19050" distL="19050" distR="19050" wp14:anchorId="2DD3930B" wp14:editId="28BCD5C1">
            <wp:extent cx="245864" cy="245864"/>
            <wp:effectExtent l="0" t="0" r="0" b="0"/>
            <wp:docPr id="44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864" cy="245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 (色泽=乌黑)：包含样本 {2, 5}，正例1，反例1。</w:t>
      </w:r>
      <w:r>
        <w:rPr>
          <w:noProof/>
          <w:color w:val="1F1F1F"/>
        </w:rPr>
        <w:drawing>
          <wp:inline distT="19050" distB="19050" distL="19050" distR="19050" wp14:anchorId="6F610EE6" wp14:editId="798579D3">
            <wp:extent cx="3162795" cy="247689"/>
            <wp:effectExtent l="0" t="0" r="0" b="0"/>
            <wp:docPr id="42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795" cy="2476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8B4F00" w14:textId="77777777" w:rsidR="00AD573D" w:rsidRDefault="00000000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noProof/>
          <w:color w:val="1F1F1F"/>
        </w:rPr>
        <w:drawing>
          <wp:inline distT="19050" distB="19050" distL="19050" distR="19050" wp14:anchorId="109F7FA1" wp14:editId="51EFED39">
            <wp:extent cx="245864" cy="245864"/>
            <wp:effectExtent l="0" t="0" r="0" b="0"/>
            <wp:docPr id="4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864" cy="245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 (色泽=浅白)：包含样本 {3}，正例0，反例1。</w:t>
      </w:r>
      <w:r>
        <w:rPr>
          <w:noProof/>
          <w:color w:val="1F1F1F"/>
        </w:rPr>
        <w:drawing>
          <wp:inline distT="19050" distB="19050" distL="19050" distR="19050" wp14:anchorId="7C6C8436" wp14:editId="6A190A05">
            <wp:extent cx="2633263" cy="248061"/>
            <wp:effectExtent l="0" t="0" r="0" b="0"/>
            <wp:docPr id="45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3263" cy="248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28A11" w14:textId="77777777" w:rsidR="00AD573D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计算信息增益</w:t>
      </w:r>
      <w:r>
        <w:rPr>
          <w:rFonts w:ascii="Arial Unicode MS" w:eastAsia="Arial Unicode MS" w:hAnsi="Arial Unicode MS" w:cs="Arial Unicode MS"/>
          <w:color w:val="1F1F1F"/>
        </w:rPr>
        <w:t>：</w:t>
      </w:r>
      <w:r>
        <w:rPr>
          <w:rFonts w:eastAsia="Arial"/>
          <w:color w:val="000000"/>
        </w:rPr>
        <w:br/>
      </w:r>
      <w:r>
        <w:rPr>
          <w:noProof/>
          <w:color w:val="000000"/>
        </w:rPr>
        <w:drawing>
          <wp:inline distT="19050" distB="19050" distL="19050" distR="19050" wp14:anchorId="5DA24C23" wp14:editId="364FD141">
            <wp:extent cx="5905500" cy="231008"/>
            <wp:effectExtent l="0" t="0" r="0" b="0"/>
            <wp:docPr id="4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31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eastAsia="Arial"/>
          <w:color w:val="000000"/>
        </w:rPr>
        <w:br/>
      </w:r>
      <w:r>
        <w:rPr>
          <w:noProof/>
          <w:color w:val="000000"/>
        </w:rPr>
        <w:drawing>
          <wp:inline distT="19050" distB="19050" distL="19050" distR="19050" wp14:anchorId="2F1B6BBA" wp14:editId="4A00927D">
            <wp:extent cx="3657600" cy="247650"/>
            <wp:effectExtent l="0" t="0" r="0" b="0"/>
            <wp:docPr id="47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78A8F" w14:textId="77777777" w:rsidR="00AD573D" w:rsidRDefault="00000000">
      <w:pPr>
        <w:pStyle w:val="2"/>
        <w:spacing w:before="120" w:after="12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四、 集成学习 (Ensemble)</w:t>
      </w:r>
    </w:p>
    <w:p w14:paraId="0C6B8EBB" w14:textId="77777777" w:rsidR="00AD57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两大流派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154F5C4D" w14:textId="77777777" w:rsidR="00AD573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Bagging（并行）：大家一起投票。主要降低方差。</w:t>
      </w:r>
    </w:p>
    <w:p w14:paraId="2094AA93" w14:textId="77777777" w:rsidR="00AD573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Boosting（串行）：后一个纠正前一个的错。主要降低偏差（同时降一点方差）。</w:t>
      </w:r>
    </w:p>
    <w:p w14:paraId="02609083" w14:textId="77777777" w:rsidR="00AD57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【经典简答题】：奥斯卡全班投票为何比单人准？</w:t>
      </w:r>
    </w:p>
    <w:p w14:paraId="4D94B387" w14:textId="77777777" w:rsidR="00AD573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Arial Unicode MS" w:eastAsia="Arial Unicode MS" w:hAnsi="Arial Unicode MS" w:cs="Arial Unicode MS"/>
          <w:color w:val="1F1F1F"/>
        </w:rPr>
        <w:t>答题模板：这是集成学习（多数投票）的体现。学生=基学习器。集成有效的条件是：1. 每个人有一定准确性（不是瞎猜）；2. 每个人有差异性（看的维度不同）。通过投票能抵消个体错误，即“多个弱学习器组合成强学习器”。</w:t>
      </w:r>
    </w:p>
    <w:p w14:paraId="5CB815E3" w14:textId="77777777" w:rsidR="00AD573D" w:rsidRDefault="00000000">
      <w:pPr>
        <w:pStyle w:val="2"/>
        <w:spacing w:before="120" w:after="12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五、 支持向量机 (SVM)</w:t>
      </w:r>
    </w:p>
    <w:p w14:paraId="1D2CA020" w14:textId="77777777" w:rsidR="00AD573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核心思想</w:t>
      </w:r>
      <w:r>
        <w:rPr>
          <w:rFonts w:ascii="Arial Unicode MS" w:eastAsia="Arial Unicode MS" w:hAnsi="Arial Unicode MS" w:cs="Arial Unicode MS"/>
          <w:color w:val="1F1F1F"/>
        </w:rPr>
        <w:t>：寻找最大间隔超平面。</w:t>
      </w:r>
    </w:p>
    <w:p w14:paraId="5407AC5D" w14:textId="77777777" w:rsidR="00AD573D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超平面公式：</w:t>
      </w:r>
      <w:r>
        <w:rPr>
          <w:noProof/>
          <w:color w:val="1F1F1F"/>
        </w:rPr>
        <w:drawing>
          <wp:inline distT="19050" distB="19050" distL="19050" distR="19050" wp14:anchorId="1300B009" wp14:editId="1C6E0EF5">
            <wp:extent cx="1049341" cy="248026"/>
            <wp:effectExtent l="0" t="0" r="0" b="0"/>
            <wp:docPr id="48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9341" cy="2480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6C433A" w14:textId="77777777" w:rsidR="00AD573D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lastRenderedPageBreak/>
        <w:t>几何间隔（点到平面的距离）：</w:t>
      </w:r>
      <w:r>
        <w:rPr>
          <w:noProof/>
          <w:color w:val="1F1F1F"/>
        </w:rPr>
        <w:drawing>
          <wp:inline distT="19050" distB="19050" distL="19050" distR="19050" wp14:anchorId="45407DA2" wp14:editId="56208545">
            <wp:extent cx="1154316" cy="325249"/>
            <wp:effectExtent l="0" t="0" r="0" b="0"/>
            <wp:docPr id="4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4316" cy="32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 (间隔越大，泛化能力越强)</w:t>
      </w:r>
    </w:p>
    <w:p w14:paraId="655BE0EF" w14:textId="77777777" w:rsidR="00AD573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处理非线性（必背两招）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10D11B00" w14:textId="77777777" w:rsidR="00AD573D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核函数 (Kernel)</w:t>
      </w:r>
      <w:r>
        <w:rPr>
          <w:rFonts w:ascii="Arial Unicode MS" w:eastAsia="Arial Unicode MS" w:hAnsi="Arial Unicode MS" w:cs="Arial Unicode MS"/>
          <w:color w:val="1F1F1F"/>
        </w:rPr>
        <w:t>：将数据隐式映射到高维使其可分。公式：</w:t>
      </w:r>
      <w:r>
        <w:rPr>
          <w:noProof/>
          <w:color w:val="1F1F1F"/>
        </w:rPr>
        <w:drawing>
          <wp:inline distT="19050" distB="19050" distL="19050" distR="19050" wp14:anchorId="38A5849B" wp14:editId="40DCEE4C">
            <wp:extent cx="2039741" cy="247819"/>
            <wp:effectExtent l="0" t="0" r="0" b="0"/>
            <wp:docPr id="50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9741" cy="247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>。常见核函数包括：线性核、多项式核、高斯RBF核、Sigmoid核。</w:t>
      </w:r>
    </w:p>
    <w:p w14:paraId="4105913D" w14:textId="77777777" w:rsidR="00AD573D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软间隔 (Soft Margin)</w:t>
      </w:r>
      <w:r>
        <w:rPr>
          <w:rFonts w:ascii="Arial Unicode MS" w:eastAsia="Arial Unicode MS" w:hAnsi="Arial Unicode MS" w:cs="Arial Unicode MS"/>
          <w:color w:val="1F1F1F"/>
        </w:rPr>
        <w:t xml:space="preserve">：引入松弛变量 </w:t>
      </w:r>
      <w:r>
        <w:rPr>
          <w:noProof/>
          <w:color w:val="1F1F1F"/>
        </w:rPr>
        <w:drawing>
          <wp:inline distT="19050" distB="19050" distL="19050" distR="19050" wp14:anchorId="76AEB817" wp14:editId="27D94C6F">
            <wp:extent cx="142875" cy="253278"/>
            <wp:effectExtent l="0" t="0" r="0" b="0"/>
            <wp:docPr id="5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532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>，允许少量异常点分错。优化目标变为：</w:t>
      </w:r>
      <w:r>
        <w:rPr>
          <w:noProof/>
          <w:color w:val="1F1F1F"/>
        </w:rPr>
        <w:drawing>
          <wp:inline distT="19050" distB="19050" distL="19050" distR="19050" wp14:anchorId="5655FE63" wp14:editId="3C0D016B">
            <wp:extent cx="2095205" cy="247615"/>
            <wp:effectExtent l="0" t="0" r="0" b="0"/>
            <wp:docPr id="52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205" cy="247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 (C控制惩罚力度)。</w:t>
      </w:r>
    </w:p>
    <w:p w14:paraId="0DA19A85" w14:textId="77777777" w:rsidR="00AD573D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Arial Unicode MS" w:eastAsia="Arial Unicode MS" w:hAnsi="Arial Unicode MS" w:cs="Arial Unicode MS"/>
          <w:color w:val="1F1F1F"/>
        </w:rPr>
        <w:t>答题模板：核函数隐式将样本映射到高维空间使其线性可分；软间隔允许少量样本分类错误，提高对噪声的鲁棒性。</w:t>
      </w:r>
    </w:p>
    <w:p w14:paraId="0BB18D21" w14:textId="77777777" w:rsidR="00AD573D" w:rsidRDefault="00000000">
      <w:pPr>
        <w:pStyle w:val="2"/>
        <w:spacing w:before="120" w:after="12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六、 逻辑回归与神经网络</w:t>
      </w:r>
    </w:p>
    <w:p w14:paraId="357FCFEE" w14:textId="77777777" w:rsidR="00AD573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逻辑回归 (LR)</w:t>
      </w:r>
      <w:r>
        <w:rPr>
          <w:rFonts w:ascii="Arial Unicode MS" w:eastAsia="Arial Unicode MS" w:hAnsi="Arial Unicode MS" w:cs="Arial Unicode MS"/>
          <w:color w:val="1F1F1F"/>
        </w:rPr>
        <w:t>：虽然叫回归，实际做分类。</w:t>
      </w:r>
    </w:p>
    <w:p w14:paraId="0358A5FF" w14:textId="77777777" w:rsidR="00AD573D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 xml:space="preserve">原理：线性计算 </w:t>
      </w:r>
      <w:r>
        <w:rPr>
          <w:noProof/>
          <w:color w:val="1F1F1F"/>
        </w:rPr>
        <w:drawing>
          <wp:inline distT="19050" distB="19050" distL="19050" distR="19050" wp14:anchorId="59FC3D76" wp14:editId="3CCEBEAB">
            <wp:extent cx="1051027" cy="248424"/>
            <wp:effectExtent l="0" t="0" r="0" b="0"/>
            <wp:docPr id="2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1027" cy="248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>，套上 Sigmoid 函数，输出概率。</w:t>
      </w:r>
    </w:p>
    <w:p w14:paraId="7AE4D484" w14:textId="77777777" w:rsidR="00AD573D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概率公式（正类）：</w:t>
      </w:r>
      <w:r>
        <w:rPr>
          <w:noProof/>
          <w:color w:val="1F1F1F"/>
        </w:rPr>
        <w:drawing>
          <wp:inline distT="19050" distB="19050" distL="19050" distR="19050" wp14:anchorId="6275880D" wp14:editId="51F14412">
            <wp:extent cx="1971475" cy="286182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475" cy="286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B9C497" w14:textId="77777777" w:rsidR="00AD573D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交叉熵损失函数</w:t>
      </w:r>
      <w:r>
        <w:rPr>
          <w:rFonts w:ascii="Arial Unicode MS" w:eastAsia="Arial Unicode MS" w:hAnsi="Arial Unicode MS" w:cs="Arial Unicode MS"/>
          <w:color w:val="1F1F1F"/>
        </w:rPr>
        <w:t>：</w:t>
      </w:r>
      <w:r>
        <w:rPr>
          <w:noProof/>
          <w:color w:val="1F1F1F"/>
        </w:rPr>
        <w:drawing>
          <wp:inline distT="19050" distB="19050" distL="19050" distR="19050" wp14:anchorId="2FCD4F37" wp14:editId="7264C14D">
            <wp:extent cx="2891828" cy="247327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1828" cy="247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 （预测越偏，损失越大）。</w:t>
      </w:r>
    </w:p>
    <w:p w14:paraId="6CB7996A" w14:textId="77777777" w:rsidR="00AD573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神经网络三步走</w:t>
      </w:r>
      <w:r>
        <w:rPr>
          <w:rFonts w:ascii="Arial Unicode MS" w:eastAsia="Arial Unicode MS" w:hAnsi="Arial Unicode MS" w:cs="Arial Unicode MS"/>
          <w:color w:val="1F1F1F"/>
        </w:rPr>
        <w:t>：前向传播（预测） -&gt; 反向传播（算误差梯度） -&gt; 参数更新（梯度下降）。</w:t>
      </w:r>
    </w:p>
    <w:p w14:paraId="5A855910" w14:textId="77777777" w:rsidR="00AD573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激活函数</w:t>
      </w:r>
      <w:r>
        <w:rPr>
          <w:rFonts w:ascii="Arial Unicode MS" w:eastAsia="Arial Unicode MS" w:hAnsi="Arial Unicode MS" w:cs="Arial Unicode MS"/>
          <w:color w:val="1F1F1F"/>
        </w:rPr>
        <w:t>：引入非线性。没有它，神经网络再深也只是线性回归。</w:t>
      </w:r>
    </w:p>
    <w:p w14:paraId="48B6A7D5" w14:textId="77777777" w:rsidR="00AD573D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【考点陷阱】：激活函数必须处处可导。（错误，ReLU 在 0 点不可导但极其常用）</w:t>
      </w:r>
    </w:p>
    <w:p w14:paraId="22517B3C" w14:textId="77777777" w:rsidR="00AD573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梯度下降</w:t>
      </w:r>
      <w:r>
        <w:rPr>
          <w:rFonts w:ascii="Arial Unicode MS" w:eastAsia="Arial Unicode MS" w:hAnsi="Arial Unicode MS" w:cs="Arial Unicode MS"/>
          <w:color w:val="1F1F1F"/>
        </w:rPr>
        <w:t>：沿负梯度方向走找最低点。</w:t>
      </w:r>
    </w:p>
    <w:p w14:paraId="2AF17302" w14:textId="77777777" w:rsidR="00AD573D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更新公式：</w:t>
      </w:r>
      <w:r>
        <w:rPr>
          <w:noProof/>
          <w:color w:val="1F1F1F"/>
        </w:rPr>
        <w:drawing>
          <wp:inline distT="19050" distB="19050" distL="19050" distR="19050" wp14:anchorId="1E589C63" wp14:editId="48744DB8">
            <wp:extent cx="1467345" cy="247734"/>
            <wp:effectExtent l="0" t="0" r="0" b="0"/>
            <wp:docPr id="2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7345" cy="2477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 （</w:t>
      </w:r>
      <w:r>
        <w:rPr>
          <w:noProof/>
          <w:color w:val="1F1F1F"/>
        </w:rPr>
        <w:drawing>
          <wp:inline distT="19050" distB="19050" distL="19050" distR="19050" wp14:anchorId="30D657D3" wp14:editId="29F3F42C">
            <wp:extent cx="104378" cy="254421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378" cy="254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 为学习率）。</w:t>
      </w:r>
    </w:p>
    <w:p w14:paraId="0BD5CEC6" w14:textId="77777777" w:rsidR="00AD573D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Arial Unicode MS" w:eastAsia="Arial Unicode MS" w:hAnsi="Arial Unicode MS" w:cs="Arial Unicode MS"/>
          <w:color w:val="1F1F1F"/>
        </w:rPr>
        <w:t>【考点陷阱】：一定能找到全局最优。（错误，非凸问题容易卡在局部最优或鞍点）</w:t>
      </w:r>
    </w:p>
    <w:p w14:paraId="246A3A81" w14:textId="77777777" w:rsidR="00AD573D" w:rsidRDefault="00000000">
      <w:pPr>
        <w:pStyle w:val="2"/>
        <w:spacing w:before="120" w:after="12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七、 贝叶斯与贝叶斯网络</w:t>
      </w:r>
    </w:p>
    <w:p w14:paraId="1A531FA9" w14:textId="77777777" w:rsidR="00AD573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朴素贝叶斯</w:t>
      </w:r>
      <w:r>
        <w:rPr>
          <w:rFonts w:ascii="Arial Unicode MS" w:eastAsia="Arial Unicode MS" w:hAnsi="Arial Unicode MS" w:cs="Arial Unicode MS"/>
          <w:color w:val="1F1F1F"/>
        </w:rPr>
        <w:t>：“朴素”的含义是假设所有特征之间相互独立。</w:t>
      </w:r>
    </w:p>
    <w:p w14:paraId="01F26419" w14:textId="77777777" w:rsidR="00AD573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核心概率计算公式（依据独立假设）：</w:t>
      </w:r>
      <w:r>
        <w:rPr>
          <w:noProof/>
          <w:color w:val="1F1F1F"/>
        </w:rPr>
        <w:drawing>
          <wp:inline distT="19050" distB="19050" distL="19050" distR="19050" wp14:anchorId="0EEB1082" wp14:editId="6AE4FA81">
            <wp:extent cx="2130028" cy="247235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0028" cy="24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6D46B" w14:textId="77777777" w:rsidR="00AD573D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【考点陷阱】：假设不成立模型就很差。（错误，虽然假设太理想，但实际效果往往不错，特别是文本分类）</w:t>
      </w:r>
    </w:p>
    <w:p w14:paraId="7A3FF5B2" w14:textId="77777777" w:rsidR="00AD573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贝叶斯网络结构（核心易错点！）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02C1A2EE" w14:textId="77777777" w:rsidR="00AD573D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V型结构 (</w:t>
      </w:r>
      <w:r>
        <w:rPr>
          <w:noProof/>
          <w:color w:val="1F1F1F"/>
        </w:rPr>
        <w:drawing>
          <wp:inline distT="19050" distB="19050" distL="19050" distR="19050" wp14:anchorId="6D6B184D" wp14:editId="4090427A">
            <wp:extent cx="1180605" cy="247546"/>
            <wp:effectExtent l="0" t="0" r="0" b="0"/>
            <wp:docPr id="2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0605" cy="2475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)：已知结果 </w:t>
      </w:r>
      <w:r>
        <w:rPr>
          <w:noProof/>
          <w:color w:val="1F1F1F"/>
        </w:rPr>
        <w:drawing>
          <wp:inline distT="19050" distB="19050" distL="19050" distR="19050" wp14:anchorId="79530993" wp14:editId="01A342A5">
            <wp:extent cx="190401" cy="247521"/>
            <wp:effectExtent l="0" t="0" r="0" b="0"/>
            <wp:docPr id="28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401" cy="247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，原因 </w:t>
      </w:r>
      <w:r>
        <w:rPr>
          <w:noProof/>
          <w:color w:val="1F1F1F"/>
        </w:rPr>
        <w:drawing>
          <wp:inline distT="19050" distB="19050" distL="19050" distR="19050" wp14:anchorId="6F405954" wp14:editId="12AFDDDC">
            <wp:extent cx="467916" cy="249982"/>
            <wp:effectExtent l="0" t="0" r="0" b="0"/>
            <wp:docPr id="29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916" cy="2499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 变相关（解释消除）。（例如：已知草湿了，下雨和洒水器之间就不独立了）。</w:t>
      </w:r>
    </w:p>
    <w:p w14:paraId="59944247" w14:textId="77777777" w:rsidR="00AD573D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Arial Unicode MS" w:eastAsia="Arial Unicode MS" w:hAnsi="Arial Unicode MS" w:cs="Arial Unicode MS"/>
          <w:color w:val="1F1F1F"/>
        </w:rPr>
        <w:lastRenderedPageBreak/>
        <w:t>同父结构 (</w:t>
      </w:r>
      <w:r>
        <w:rPr>
          <w:noProof/>
          <w:color w:val="1F1F1F"/>
        </w:rPr>
        <w:drawing>
          <wp:inline distT="19050" distB="19050" distL="19050" distR="19050" wp14:anchorId="7FDF06FA" wp14:editId="2A1B9EA8">
            <wp:extent cx="1180605" cy="247546"/>
            <wp:effectExtent l="0" t="0" r="0" b="0"/>
            <wp:docPr id="3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0605" cy="2475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)：已知共同原因 </w:t>
      </w:r>
      <w:r>
        <w:rPr>
          <w:noProof/>
          <w:color w:val="1F1F1F"/>
        </w:rPr>
        <w:drawing>
          <wp:inline distT="19050" distB="19050" distL="19050" distR="19050" wp14:anchorId="00A25400" wp14:editId="6E7D239E">
            <wp:extent cx="190401" cy="247521"/>
            <wp:effectExtent l="0" t="0" r="0" b="0"/>
            <wp:docPr id="1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401" cy="247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，结果 </w:t>
      </w:r>
      <w:r>
        <w:rPr>
          <w:noProof/>
          <w:color w:val="1F1F1F"/>
        </w:rPr>
        <w:drawing>
          <wp:inline distT="19050" distB="19050" distL="19050" distR="19050" wp14:anchorId="51CC5744" wp14:editId="273C9C41">
            <wp:extent cx="467916" cy="249982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916" cy="2499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 相互独立。</w:t>
      </w:r>
    </w:p>
    <w:p w14:paraId="27BF7204" w14:textId="77777777" w:rsidR="00AD573D" w:rsidRDefault="00000000">
      <w:pPr>
        <w:pStyle w:val="3"/>
        <w:spacing w:before="120" w:after="120" w:line="275" w:lineRule="auto"/>
        <w:rPr>
          <w:rFonts w:ascii="Arial Unicode MS" w:eastAsia="Arial Unicode MS" w:hAnsi="Arial Unicode MS" w:cs="Arial Unicode MS"/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【计算题真题：朴素贝叶斯分类】</w:t>
      </w:r>
    </w:p>
    <w:p w14:paraId="6A65D537" w14:textId="4779B67B" w:rsidR="001B4B27" w:rsidRPr="001B4B27" w:rsidRDefault="001B4B27" w:rsidP="001B4B27">
      <w:r w:rsidRPr="001B4B27">
        <w:drawing>
          <wp:inline distT="0" distB="0" distL="0" distR="0" wp14:anchorId="235A6BB2" wp14:editId="7E3265AC">
            <wp:extent cx="5943600" cy="3865880"/>
            <wp:effectExtent l="0" t="0" r="0" b="1270"/>
            <wp:docPr id="184441429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25810339-C375-DD0B-FF2D-669863A640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25810339-C375-DD0B-FF2D-669863A640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D439" w14:textId="77777777" w:rsidR="00AD573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b/>
          <w:bCs/>
          <w:color w:val="1F1F1F"/>
        </w:rPr>
      </w:pPr>
      <w:r>
        <w:rPr>
          <w:rFonts w:ascii="Arial Unicode MS" w:eastAsia="Arial Unicode MS" w:hAnsi="Arial Unicode MS" w:cs="Arial Unicode MS"/>
          <w:b/>
          <w:bCs/>
          <w:color w:val="1F1F1F"/>
        </w:rPr>
        <w:t>题目背景（沿用上表数据集）：</w:t>
      </w:r>
    </w:p>
    <w:p w14:paraId="072B8792" w14:textId="77777777" w:rsidR="00AD573D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使用上述数据集，训练朴素贝叶斯分类器，并对测试样本“测1”(青绿，蜷缩，浊响)进行分类。要求有计算过程，用分数表示概率即可。</w:t>
      </w:r>
    </w:p>
    <w:p w14:paraId="2BFC9F11" w14:textId="77777777" w:rsidR="00AD573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bCs/>
          <w:color w:val="1F1F1F"/>
        </w:rPr>
      </w:pPr>
      <w:r>
        <w:rPr>
          <w:rFonts w:ascii="Arial Unicode MS" w:eastAsia="Arial Unicode MS" w:hAnsi="Arial Unicode MS" w:cs="Arial Unicode MS"/>
          <w:b/>
          <w:bCs/>
          <w:color w:val="1F1F1F"/>
        </w:rPr>
        <w:t>解答过程：</w:t>
      </w:r>
    </w:p>
    <w:p w14:paraId="156F1D67" w14:textId="77777777" w:rsidR="00AD573D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计算先验概率</w:t>
      </w:r>
      <w:r>
        <w:rPr>
          <w:rFonts w:ascii="Arial Unicode MS" w:eastAsia="Arial Unicode MS" w:hAnsi="Arial Unicode MS" w:cs="Arial Unicode MS"/>
          <w:color w:val="1F1F1F"/>
        </w:rPr>
        <w:t>：</w:t>
      </w:r>
      <w:r>
        <w:rPr>
          <w:rFonts w:eastAsia="Arial"/>
          <w:color w:val="000000"/>
        </w:rPr>
        <w:br/>
      </w:r>
      <w:r>
        <w:rPr>
          <w:noProof/>
          <w:color w:val="000000"/>
        </w:rPr>
        <w:drawing>
          <wp:inline distT="19050" distB="19050" distL="19050" distR="19050" wp14:anchorId="5B432734" wp14:editId="3A43DB92">
            <wp:extent cx="1531239" cy="247794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1239" cy="2477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， </w:t>
      </w:r>
      <w:r>
        <w:rPr>
          <w:noProof/>
          <w:color w:val="1F1F1F"/>
        </w:rPr>
        <w:drawing>
          <wp:inline distT="19050" distB="19050" distL="19050" distR="19050" wp14:anchorId="584B362C" wp14:editId="586A106C">
            <wp:extent cx="1531239" cy="247794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1239" cy="2477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7C42B" w14:textId="77777777" w:rsidR="00AD573D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计算“好瓜=是”条件下的类条件概率</w:t>
      </w:r>
      <w:r>
        <w:rPr>
          <w:rFonts w:ascii="Arial Unicode MS" w:eastAsia="Arial Unicode MS" w:hAnsi="Arial Unicode MS" w:cs="Arial Unicode MS"/>
          <w:color w:val="1F1F1F"/>
        </w:rPr>
        <w:t>：</w:t>
      </w:r>
      <w:r>
        <w:rPr>
          <w:rFonts w:eastAsia="Arial"/>
          <w:color w:val="000000"/>
        </w:rPr>
        <w:br/>
      </w:r>
      <w:r>
        <w:rPr>
          <w:noProof/>
          <w:color w:val="000000"/>
        </w:rPr>
        <w:drawing>
          <wp:inline distT="19050" distB="19050" distL="19050" distR="19050" wp14:anchorId="7804E249" wp14:editId="6E6A0FAA">
            <wp:extent cx="1977533" cy="247192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7533" cy="2471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， </w:t>
      </w:r>
      <w:r>
        <w:rPr>
          <w:noProof/>
          <w:color w:val="1F1F1F"/>
        </w:rPr>
        <w:drawing>
          <wp:inline distT="19050" distB="19050" distL="19050" distR="19050" wp14:anchorId="75E7E46A" wp14:editId="5C32B9DB">
            <wp:extent cx="1977533" cy="247192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7533" cy="2471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， </w:t>
      </w:r>
      <w:r>
        <w:rPr>
          <w:noProof/>
          <w:color w:val="1F1F1F"/>
        </w:rPr>
        <w:drawing>
          <wp:inline distT="19050" distB="19050" distL="19050" distR="19050" wp14:anchorId="2110F06F" wp14:editId="21E49F0E">
            <wp:extent cx="1977533" cy="247192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7533" cy="2471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BD97F7" w14:textId="77777777" w:rsidR="00AD573D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计算“好瓜=否”条件下的类条件概率</w:t>
      </w:r>
      <w:r>
        <w:rPr>
          <w:rFonts w:ascii="Arial Unicode MS" w:eastAsia="Arial Unicode MS" w:hAnsi="Arial Unicode MS" w:cs="Arial Unicode MS"/>
          <w:color w:val="1F1F1F"/>
        </w:rPr>
        <w:t>：</w:t>
      </w:r>
      <w:r>
        <w:rPr>
          <w:rFonts w:eastAsia="Arial"/>
          <w:color w:val="000000"/>
        </w:rPr>
        <w:br/>
      </w:r>
      <w:r>
        <w:rPr>
          <w:noProof/>
          <w:color w:val="000000"/>
        </w:rPr>
        <w:drawing>
          <wp:inline distT="19050" distB="19050" distL="19050" distR="19050" wp14:anchorId="5AB68F8F" wp14:editId="28AE58FC">
            <wp:extent cx="1960169" cy="24740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0169" cy="24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， </w:t>
      </w:r>
      <w:r>
        <w:rPr>
          <w:noProof/>
          <w:color w:val="1F1F1F"/>
        </w:rPr>
        <w:drawing>
          <wp:inline distT="19050" distB="19050" distL="19050" distR="19050" wp14:anchorId="439894F0" wp14:editId="4F968969">
            <wp:extent cx="1977533" cy="247192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7533" cy="2471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， </w:t>
      </w:r>
      <w:r>
        <w:rPr>
          <w:noProof/>
          <w:color w:val="1F1F1F"/>
        </w:rPr>
        <w:drawing>
          <wp:inline distT="19050" distB="19050" distL="19050" distR="19050" wp14:anchorId="5D227342" wp14:editId="0DAC9D52">
            <wp:extent cx="1960169" cy="247400"/>
            <wp:effectExtent l="0" t="0" r="0" b="0"/>
            <wp:docPr id="2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0169" cy="24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7B9941" w14:textId="77777777" w:rsidR="00AD573D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计算后验概率（忽略分母）进行比较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58B300C5" w14:textId="77777777" w:rsidR="00AD573D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lastRenderedPageBreak/>
        <w:t>测1为“是”的概率正比于：</w:t>
      </w:r>
      <w:r>
        <w:rPr>
          <w:noProof/>
          <w:color w:val="1F1F1F"/>
        </w:rPr>
        <w:drawing>
          <wp:inline distT="19050" distB="19050" distL="19050" distR="19050" wp14:anchorId="321C0D4F" wp14:editId="79376437">
            <wp:extent cx="1625003" cy="247559"/>
            <wp:effectExtent l="0" t="0" r="0" b="0"/>
            <wp:docPr id="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5003" cy="2475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315B35" w14:textId="77777777" w:rsidR="00AD573D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测1为“否”的概率正比于：</w:t>
      </w:r>
      <w:r>
        <w:rPr>
          <w:noProof/>
          <w:color w:val="1F1F1F"/>
        </w:rPr>
        <w:drawing>
          <wp:inline distT="19050" distB="19050" distL="19050" distR="19050" wp14:anchorId="5D0C8DFC" wp14:editId="45AFEE10">
            <wp:extent cx="1504359" cy="247553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4359" cy="2475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84F1B3" w14:textId="77777777" w:rsidR="00AD573D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得出结论</w:t>
      </w:r>
      <w:r>
        <w:rPr>
          <w:rFonts w:ascii="Arial Unicode MS" w:eastAsia="Arial Unicode MS" w:hAnsi="Arial Unicode MS" w:cs="Arial Unicode MS"/>
          <w:color w:val="1F1F1F"/>
        </w:rPr>
        <w:t xml:space="preserve">：因为 </w:t>
      </w:r>
      <w:r>
        <w:rPr>
          <w:noProof/>
          <w:color w:val="1F1F1F"/>
        </w:rPr>
        <w:drawing>
          <wp:inline distT="19050" distB="19050" distL="19050" distR="19050" wp14:anchorId="094CBCC6" wp14:editId="5FF2AD0D">
            <wp:extent cx="543222" cy="249243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222" cy="249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>，分类结果为：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是</w:t>
      </w:r>
      <w:r>
        <w:rPr>
          <w:rFonts w:ascii="Arial Unicode MS" w:eastAsia="Arial Unicode MS" w:hAnsi="Arial Unicode MS" w:cs="Arial Unicode MS"/>
          <w:color w:val="1F1F1F"/>
        </w:rPr>
        <w:t>（好瓜）。</w:t>
      </w:r>
    </w:p>
    <w:p w14:paraId="1D3913A8" w14:textId="77777777" w:rsidR="00AD573D" w:rsidRDefault="00000000">
      <w:pPr>
        <w:pStyle w:val="2"/>
        <w:spacing w:before="120" w:after="12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八、 线性判别分析 (LDA)</w:t>
      </w:r>
    </w:p>
    <w:p w14:paraId="31B3CD47" w14:textId="77777777" w:rsidR="00AD573D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核心口诀</w:t>
      </w:r>
      <w:r>
        <w:rPr>
          <w:rFonts w:ascii="Arial Unicode MS" w:eastAsia="Arial Unicode MS" w:hAnsi="Arial Unicode MS" w:cs="Arial Unicode MS"/>
          <w:color w:val="1F1F1F"/>
        </w:rPr>
        <w:t>：“类内极小，类间极大”（同类越挤越好，异类越远越好）。</w:t>
      </w:r>
    </w:p>
    <w:p w14:paraId="59D6EDF0" w14:textId="77777777" w:rsidR="00AD573D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核心数学表达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25730587" w14:textId="77777777" w:rsidR="00AD573D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优化目标：</w:t>
      </w:r>
      <w:r>
        <w:rPr>
          <w:noProof/>
          <w:color w:val="1F1F1F"/>
        </w:rPr>
        <w:drawing>
          <wp:inline distT="19050" distB="19050" distL="19050" distR="19050" wp14:anchorId="7BE5C39B" wp14:editId="388E0320">
            <wp:extent cx="1006773" cy="291268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6773" cy="2912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 （</w:t>
      </w:r>
      <w:r>
        <w:rPr>
          <w:noProof/>
          <w:color w:val="1F1F1F"/>
        </w:rPr>
        <w:drawing>
          <wp:inline distT="19050" distB="19050" distL="19050" distR="19050" wp14:anchorId="3B1AB92B" wp14:editId="0B3E7899">
            <wp:extent cx="188714" cy="245328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714" cy="245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 为类间散度矩阵，</w:t>
      </w:r>
      <w:r>
        <w:rPr>
          <w:noProof/>
          <w:color w:val="1F1F1F"/>
        </w:rPr>
        <w:drawing>
          <wp:inline distT="19050" distB="19050" distL="19050" distR="19050" wp14:anchorId="76A52E1D" wp14:editId="39E71901">
            <wp:extent cx="231775" cy="251089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775" cy="2510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 为类内散度矩阵）</w:t>
      </w:r>
    </w:p>
    <w:p w14:paraId="48A7D0C1" w14:textId="77777777" w:rsidR="00AD573D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Arial Unicode MS" w:eastAsia="Arial Unicode MS" w:hAnsi="Arial Unicode MS" w:cs="Arial Unicode MS"/>
          <w:color w:val="1F1F1F"/>
        </w:rPr>
        <w:t>最优投影方向（二分类）：</w:t>
      </w:r>
      <w:r>
        <w:rPr>
          <w:noProof/>
          <w:color w:val="1F1F1F"/>
        </w:rPr>
        <w:drawing>
          <wp:inline distT="19050" distB="19050" distL="19050" distR="19050" wp14:anchorId="71B7089D" wp14:editId="15D2534B">
            <wp:extent cx="1508122" cy="248172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8122" cy="248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0453E" w14:textId="77777777" w:rsidR="00AD573D" w:rsidRDefault="00000000">
      <w:pPr>
        <w:pStyle w:val="2"/>
        <w:spacing w:before="120" w:after="12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九、 模型评价指标（必考计算与概念）</w:t>
      </w:r>
    </w:p>
    <w:p w14:paraId="4A6D4027" w14:textId="77777777" w:rsidR="00AD573D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记忆口诀</w:t>
      </w:r>
      <w:r>
        <w:rPr>
          <w:rFonts w:ascii="Arial Unicode MS" w:eastAsia="Arial Unicode MS" w:hAnsi="Arial Unicode MS" w:cs="Arial Unicode MS"/>
          <w:color w:val="1F1F1F"/>
        </w:rPr>
        <w:t>：T/F代表对错，P/N代表预测结果。(TP = 预测是正，且预测对了 = 真正例)</w:t>
      </w:r>
    </w:p>
    <w:tbl>
      <w:tblPr>
        <w:tblStyle w:val="a6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D573D" w14:paraId="208E6FC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2EFD5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真实 \ 预测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7AC27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预测为正例 (P)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40B9D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预测为反例 (N)</w:t>
            </w:r>
          </w:p>
        </w:tc>
      </w:tr>
      <w:tr w:rsidR="00AD573D" w14:paraId="66560EC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624AA2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真实为正例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D5E492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eastAsia="Arial"/>
                <w:b/>
                <w:bCs/>
                <w:color w:val="1F1F1F"/>
              </w:rPr>
              <w:t>TP</w:t>
            </w:r>
            <w:r>
              <w:rPr>
                <w:rFonts w:ascii="Arial Unicode MS" w:eastAsia="Arial Unicode MS" w:hAnsi="Arial Unicode MS" w:cs="Arial Unicode MS"/>
                <w:color w:val="1F1F1F"/>
              </w:rPr>
              <w:t xml:space="preserve"> (真正例)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E85F5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eastAsia="Arial"/>
                <w:b/>
                <w:bCs/>
                <w:color w:val="1F1F1F"/>
              </w:rPr>
              <w:t>FN</w:t>
            </w:r>
            <w:r>
              <w:rPr>
                <w:rFonts w:ascii="Arial Unicode MS" w:eastAsia="Arial Unicode MS" w:hAnsi="Arial Unicode MS" w:cs="Arial Unicode MS"/>
                <w:color w:val="1F1F1F"/>
              </w:rPr>
              <w:t xml:space="preserve"> (假反例，漏网之鱼)</w:t>
            </w:r>
          </w:p>
        </w:tc>
      </w:tr>
      <w:tr w:rsidR="00AD573D" w14:paraId="2D94ADA5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29FA0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F1F1F"/>
              </w:rPr>
              <w:t>真实为反例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265BC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eastAsia="Arial"/>
                <w:b/>
                <w:bCs/>
                <w:color w:val="1F1F1F"/>
              </w:rPr>
              <w:t>FP</w:t>
            </w:r>
            <w:r>
              <w:rPr>
                <w:rFonts w:ascii="Arial Unicode MS" w:eastAsia="Arial Unicode MS" w:hAnsi="Arial Unicode MS" w:cs="Arial Unicode MS"/>
                <w:color w:val="1F1F1F"/>
              </w:rPr>
              <w:t xml:space="preserve"> (假正例，冤假错案)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5C85E" w14:textId="77777777" w:rsidR="00AD57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rFonts w:eastAsia="Arial"/>
                <w:b/>
                <w:bCs/>
                <w:color w:val="1F1F1F"/>
              </w:rPr>
              <w:t>TN</w:t>
            </w:r>
            <w:r>
              <w:rPr>
                <w:rFonts w:ascii="Arial Unicode MS" w:eastAsia="Arial Unicode MS" w:hAnsi="Arial Unicode MS" w:cs="Arial Unicode MS"/>
                <w:color w:val="1F1F1F"/>
              </w:rPr>
              <w:t xml:space="preserve"> (真反例)</w:t>
            </w:r>
          </w:p>
        </w:tc>
      </w:tr>
    </w:tbl>
    <w:p w14:paraId="3BD65135" w14:textId="77777777" w:rsidR="00AD573D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四大指标公式（核心考点）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27F635EC" w14:textId="77777777" w:rsidR="00AD573D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TPR (真正例率) / R (查全率/Recall)：</w:t>
      </w:r>
      <w:r>
        <w:rPr>
          <w:noProof/>
          <w:color w:val="1F1F1F"/>
        </w:rPr>
        <w:drawing>
          <wp:inline distT="19050" distB="19050" distL="19050" distR="19050" wp14:anchorId="40D21938" wp14:editId="571E634B">
            <wp:extent cx="1617164" cy="253673"/>
            <wp:effectExtent l="0" t="0" r="0" b="0"/>
            <wp:docPr id="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7164" cy="2536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 -&gt; 真好人里，找出了多少？</w:t>
      </w:r>
    </w:p>
    <w:p w14:paraId="2B7F6625" w14:textId="77777777" w:rsidR="00AD573D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FPR (假正例率)：</w:t>
      </w:r>
      <w:r>
        <w:rPr>
          <w:noProof/>
          <w:color w:val="1F1F1F"/>
        </w:rPr>
        <w:drawing>
          <wp:inline distT="19050" distB="19050" distL="19050" distR="19050" wp14:anchorId="43D407F1" wp14:editId="38417E45">
            <wp:extent cx="1217114" cy="253565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7114" cy="253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 -&gt; 真坏人里，冤枉了多少？</w:t>
      </w:r>
    </w:p>
    <w:p w14:paraId="517E50E3" w14:textId="77777777" w:rsidR="00AD573D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P (查准率/Precision)：</w:t>
      </w:r>
      <w:r>
        <w:rPr>
          <w:noProof/>
          <w:color w:val="1F1F1F"/>
        </w:rPr>
        <w:drawing>
          <wp:inline distT="19050" distB="19050" distL="19050" distR="19050" wp14:anchorId="4395EF1D" wp14:editId="6A030167">
            <wp:extent cx="950317" cy="253418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0317" cy="2534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 xml:space="preserve"> -&gt; 你抓的人里，有多少是真坏人？</w:t>
      </w:r>
    </w:p>
    <w:p w14:paraId="75F1FE30" w14:textId="77777777" w:rsidR="00AD573D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两个等式关系</w:t>
      </w:r>
      <w:r>
        <w:rPr>
          <w:rFonts w:ascii="Arial Unicode MS" w:eastAsia="Arial Unicode MS" w:hAnsi="Arial Unicode MS" w:cs="Arial Unicode MS"/>
          <w:color w:val="1F1F1F"/>
        </w:rPr>
        <w:t>：查全率 (Recall) = 真正例率 (TPR)。</w:t>
      </w:r>
    </w:p>
    <w:p w14:paraId="5FB15C97" w14:textId="77777777" w:rsidR="00AD573D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曲线</w:t>
      </w:r>
      <w:r>
        <w:rPr>
          <w:rFonts w:ascii="Arial Unicode MS" w:eastAsia="Arial Unicode MS" w:hAnsi="Arial Unicode MS" w:cs="Arial Unicode MS"/>
          <w:color w:val="1F1F1F"/>
        </w:rPr>
        <w:t>：ROC曲线（横轴FPR，纵轴TPR）；PR曲线（横轴查全率，纵轴查准率）。</w:t>
      </w:r>
    </w:p>
    <w:p w14:paraId="3239EF16" w14:textId="77777777" w:rsidR="00AD573D" w:rsidRDefault="00000000">
      <w:pPr>
        <w:pStyle w:val="2"/>
        <w:spacing w:before="120" w:after="12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t>十、 EM 算法 (期望最大化)</w:t>
      </w:r>
    </w:p>
    <w:p w14:paraId="7395FDD9" w14:textId="77777777" w:rsidR="00AD573D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应用场景</w:t>
      </w:r>
      <w:r>
        <w:rPr>
          <w:rFonts w:ascii="Arial Unicode MS" w:eastAsia="Arial Unicode MS" w:hAnsi="Arial Unicode MS" w:cs="Arial Unicode MS"/>
          <w:color w:val="1F1F1F"/>
        </w:rPr>
        <w:t>：数据有缺失，或者有看不见的隐变量（如高斯混合模型）。</w:t>
      </w:r>
    </w:p>
    <w:p w14:paraId="5C386C62" w14:textId="77777777" w:rsidR="00AD573D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b/>
          <w:bCs/>
          <w:color w:val="1F1F1F"/>
        </w:rPr>
        <w:t>通俗两步</w:t>
      </w:r>
      <w:r>
        <w:rPr>
          <w:rFonts w:ascii="Arial Unicode MS" w:eastAsia="Arial Unicode MS" w:hAnsi="Arial Unicode MS" w:cs="Arial Unicode MS"/>
          <w:color w:val="1F1F1F"/>
        </w:rPr>
        <w:t>：</w:t>
      </w:r>
    </w:p>
    <w:p w14:paraId="7BA2E3DC" w14:textId="77777777" w:rsidR="00AD573D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E步 (期望)：猜隐变量。公式：</w:t>
      </w:r>
      <w:r>
        <w:rPr>
          <w:noProof/>
          <w:color w:val="1F1F1F"/>
        </w:rPr>
        <w:drawing>
          <wp:inline distT="19050" distB="19050" distL="19050" distR="19050" wp14:anchorId="1059AC68" wp14:editId="5B37B90B">
            <wp:extent cx="2972200" cy="247683"/>
            <wp:effectExtent l="0" t="0" r="0" b="0"/>
            <wp:docPr id="3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2200" cy="247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>。</w:t>
      </w:r>
    </w:p>
    <w:p w14:paraId="330C5D38" w14:textId="77777777" w:rsidR="00AD573D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M步 (最大化)：定新参数。公式：</w:t>
      </w:r>
      <w:r>
        <w:rPr>
          <w:noProof/>
          <w:color w:val="1F1F1F"/>
        </w:rPr>
        <w:drawing>
          <wp:inline distT="19050" distB="19050" distL="19050" distR="19050" wp14:anchorId="03C2BBBC" wp14:editId="60A8BB84">
            <wp:extent cx="2180130" cy="247886"/>
            <wp:effectExtent l="0" t="0" r="0" b="0"/>
            <wp:docPr id="3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0130" cy="2478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 Unicode MS" w:eastAsia="Arial Unicode MS" w:hAnsi="Arial Unicode MS" w:cs="Arial Unicode MS"/>
          <w:color w:val="1F1F1F"/>
        </w:rPr>
        <w:t>。</w:t>
      </w:r>
    </w:p>
    <w:p w14:paraId="7C60EF34" w14:textId="77777777" w:rsidR="00AD573D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Arial Unicode MS" w:eastAsia="Arial Unicode MS" w:hAnsi="Arial Unicode MS" w:cs="Arial Unicode MS"/>
          <w:color w:val="1F1F1F"/>
        </w:rPr>
        <w:t>【考点陷阱】：EM算法一定会找到全局最优。（错误，可能会收敛到局部最优）</w:t>
      </w:r>
    </w:p>
    <w:p w14:paraId="2DC59122" w14:textId="77777777" w:rsidR="00AD573D" w:rsidRDefault="00000000">
      <w:pPr>
        <w:pStyle w:val="2"/>
        <w:spacing w:before="120" w:after="120" w:line="275" w:lineRule="auto"/>
        <w:rPr>
          <w:color w:val="1F1F1F"/>
        </w:rPr>
      </w:pPr>
      <w:r>
        <w:rPr>
          <w:rFonts w:ascii="Arial Unicode MS" w:eastAsia="Arial Unicode MS" w:hAnsi="Arial Unicode MS" w:cs="Arial Unicode MS"/>
          <w:color w:val="1F1F1F"/>
        </w:rPr>
        <w:lastRenderedPageBreak/>
        <w:t>附录：考前 5 分钟判断题“必杀”雷区清单</w:t>
      </w:r>
    </w:p>
    <w:p w14:paraId="0F5D86EB" w14:textId="77777777" w:rsidR="00AD573D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监督学习要标签，无监督不要标签。 (正确)</w:t>
      </w:r>
    </w:p>
    <w:p w14:paraId="120D9661" w14:textId="77777777" w:rsidR="00AD573D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过拟合只有模型太复杂才会发生。 (错误：数据少、过度调参也会)</w:t>
      </w:r>
    </w:p>
    <w:p w14:paraId="2E4EB2C6" w14:textId="77777777" w:rsidR="00AD573D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随机森林每棵树的训练集都是一样的。 (错误：有放回抽样，各不相同)</w:t>
      </w:r>
    </w:p>
    <w:p w14:paraId="1C2D1DDD" w14:textId="77777777" w:rsidR="00AD573D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SVM 最大化间隔是为了提高泛化能力。 (正确)</w:t>
      </w:r>
    </w:p>
    <w:p w14:paraId="09DF6927" w14:textId="77777777" w:rsidR="00AD573D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神经网络激活函数必须处处可导。 (错误：ReLU 不行但能用)</w:t>
      </w:r>
    </w:p>
    <w:p w14:paraId="5AD1A3AE" w14:textId="77777777" w:rsidR="00AD573D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梯度下降总能找到全局最优。 (错误：非凸问题找不到)</w:t>
      </w:r>
    </w:p>
    <w:p w14:paraId="378131FD" w14:textId="77777777" w:rsidR="00AD573D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朴素贝叶斯的独立假设不成立时，模型表现一定极差。 (错误：实际效果依然能打)</w:t>
      </w:r>
    </w:p>
    <w:p w14:paraId="72678056" w14:textId="77777777" w:rsidR="00AD573D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贝叶斯网络V型结构中，给定子节点，父节点相互独立。 (错误：给定子节点，父节点变相关)</w:t>
      </w:r>
    </w:p>
    <w:p w14:paraId="07B363BF" w14:textId="77777777" w:rsidR="00AD573D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贝叶斯网络同父结构中，给定父节点，子节点相互独立。 (正确)</w:t>
      </w:r>
    </w:p>
    <w:p w14:paraId="08065DA6" w14:textId="77777777" w:rsidR="00AD573D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Arial Unicode MS" w:eastAsia="Arial Unicode MS" w:hAnsi="Arial Unicode MS" w:cs="Arial Unicode MS"/>
          <w:color w:val="1F1F1F"/>
        </w:rPr>
        <w:t>查全率 (Recall) 数值上完全等于真正例率 (TPR)。 (正确)</w:t>
      </w:r>
    </w:p>
    <w:sectPr w:rsidR="00AD573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6983F17-C2E8-41E5-BE72-70E6DA125A1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0BA0B6B-1A92-49FA-AB7C-53C30FEA54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77CBBAF-8086-4066-92E6-2B387BD0F7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987"/>
    <w:multiLevelType w:val="multilevel"/>
    <w:tmpl w:val="4CA60C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EF0FDA"/>
    <w:multiLevelType w:val="multilevel"/>
    <w:tmpl w:val="86A62F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C8B6733"/>
    <w:multiLevelType w:val="multilevel"/>
    <w:tmpl w:val="DBE8EA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DBD38ED"/>
    <w:multiLevelType w:val="multilevel"/>
    <w:tmpl w:val="1822481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1AB7E06"/>
    <w:multiLevelType w:val="multilevel"/>
    <w:tmpl w:val="0D3053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3A31002"/>
    <w:multiLevelType w:val="multilevel"/>
    <w:tmpl w:val="904886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3B00893"/>
    <w:multiLevelType w:val="multilevel"/>
    <w:tmpl w:val="4086B1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3FE26A0"/>
    <w:multiLevelType w:val="multilevel"/>
    <w:tmpl w:val="F8743F2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7A122AD"/>
    <w:multiLevelType w:val="multilevel"/>
    <w:tmpl w:val="1666A0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7D8789F"/>
    <w:multiLevelType w:val="multilevel"/>
    <w:tmpl w:val="82F696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E1B1C4F"/>
    <w:multiLevelType w:val="multilevel"/>
    <w:tmpl w:val="6A92D2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E9B58D2"/>
    <w:multiLevelType w:val="multilevel"/>
    <w:tmpl w:val="6F20AE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C531A0E"/>
    <w:multiLevelType w:val="multilevel"/>
    <w:tmpl w:val="8EEEA37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8F144E3"/>
    <w:multiLevelType w:val="multilevel"/>
    <w:tmpl w:val="FCD4F9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C8E532B"/>
    <w:multiLevelType w:val="multilevel"/>
    <w:tmpl w:val="C2F60A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E8708A9"/>
    <w:multiLevelType w:val="multilevel"/>
    <w:tmpl w:val="DD083A1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F1D0D46"/>
    <w:multiLevelType w:val="multilevel"/>
    <w:tmpl w:val="DF16EA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3F293883"/>
    <w:multiLevelType w:val="multilevel"/>
    <w:tmpl w:val="857C6E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40497603"/>
    <w:multiLevelType w:val="multilevel"/>
    <w:tmpl w:val="4392BB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40F545B3"/>
    <w:multiLevelType w:val="multilevel"/>
    <w:tmpl w:val="5ED6BE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495F75C0"/>
    <w:multiLevelType w:val="multilevel"/>
    <w:tmpl w:val="2DF2F9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4EB54C79"/>
    <w:multiLevelType w:val="multilevel"/>
    <w:tmpl w:val="0FF0AD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51100F6D"/>
    <w:multiLevelType w:val="multilevel"/>
    <w:tmpl w:val="D8E8BC6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51A44BE1"/>
    <w:multiLevelType w:val="multilevel"/>
    <w:tmpl w:val="870C5F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539554F3"/>
    <w:multiLevelType w:val="multilevel"/>
    <w:tmpl w:val="7FE01B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598874C8"/>
    <w:multiLevelType w:val="multilevel"/>
    <w:tmpl w:val="B69635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59A147F5"/>
    <w:multiLevelType w:val="multilevel"/>
    <w:tmpl w:val="69EC1F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5A400A63"/>
    <w:multiLevelType w:val="multilevel"/>
    <w:tmpl w:val="3080EB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600C6893"/>
    <w:multiLevelType w:val="multilevel"/>
    <w:tmpl w:val="45DA35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60A57687"/>
    <w:multiLevelType w:val="multilevel"/>
    <w:tmpl w:val="B7B664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625E0658"/>
    <w:multiLevelType w:val="multilevel"/>
    <w:tmpl w:val="086C65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628C60B7"/>
    <w:multiLevelType w:val="multilevel"/>
    <w:tmpl w:val="4B6023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69275299"/>
    <w:multiLevelType w:val="multilevel"/>
    <w:tmpl w:val="DD2439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6AF17218"/>
    <w:multiLevelType w:val="multilevel"/>
    <w:tmpl w:val="910842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6E5741F1"/>
    <w:multiLevelType w:val="multilevel"/>
    <w:tmpl w:val="D3B448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71A634C4"/>
    <w:multiLevelType w:val="multilevel"/>
    <w:tmpl w:val="F48E9F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7CE24135"/>
    <w:multiLevelType w:val="multilevel"/>
    <w:tmpl w:val="BF220F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7DBC72AB"/>
    <w:multiLevelType w:val="multilevel"/>
    <w:tmpl w:val="C99E5F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51321853">
    <w:abstractNumId w:val="11"/>
  </w:num>
  <w:num w:numId="2" w16cid:durableId="546797926">
    <w:abstractNumId w:val="26"/>
  </w:num>
  <w:num w:numId="3" w16cid:durableId="61218582">
    <w:abstractNumId w:val="34"/>
  </w:num>
  <w:num w:numId="4" w16cid:durableId="1595163877">
    <w:abstractNumId w:val="4"/>
  </w:num>
  <w:num w:numId="5" w16cid:durableId="1684824620">
    <w:abstractNumId w:val="1"/>
  </w:num>
  <w:num w:numId="6" w16cid:durableId="52975063">
    <w:abstractNumId w:val="25"/>
  </w:num>
  <w:num w:numId="7" w16cid:durableId="2008558791">
    <w:abstractNumId w:val="0"/>
  </w:num>
  <w:num w:numId="8" w16cid:durableId="1631549148">
    <w:abstractNumId w:val="36"/>
  </w:num>
  <w:num w:numId="9" w16cid:durableId="397552144">
    <w:abstractNumId w:val="5"/>
  </w:num>
  <w:num w:numId="10" w16cid:durableId="1515725537">
    <w:abstractNumId w:val="8"/>
  </w:num>
  <w:num w:numId="11" w16cid:durableId="1011760720">
    <w:abstractNumId w:val="29"/>
  </w:num>
  <w:num w:numId="12" w16cid:durableId="522015637">
    <w:abstractNumId w:val="31"/>
  </w:num>
  <w:num w:numId="13" w16cid:durableId="707149104">
    <w:abstractNumId w:val="19"/>
  </w:num>
  <w:num w:numId="14" w16cid:durableId="2053722510">
    <w:abstractNumId w:val="9"/>
  </w:num>
  <w:num w:numId="15" w16cid:durableId="809828741">
    <w:abstractNumId w:val="12"/>
  </w:num>
  <w:num w:numId="16" w16cid:durableId="1501967227">
    <w:abstractNumId w:val="7"/>
  </w:num>
  <w:num w:numId="17" w16cid:durableId="760643503">
    <w:abstractNumId w:val="33"/>
  </w:num>
  <w:num w:numId="18" w16cid:durableId="390469657">
    <w:abstractNumId w:val="24"/>
  </w:num>
  <w:num w:numId="19" w16cid:durableId="448163316">
    <w:abstractNumId w:val="35"/>
  </w:num>
  <w:num w:numId="20" w16cid:durableId="786968378">
    <w:abstractNumId w:val="23"/>
  </w:num>
  <w:num w:numId="21" w16cid:durableId="522522224">
    <w:abstractNumId w:val="13"/>
  </w:num>
  <w:num w:numId="22" w16cid:durableId="2139376108">
    <w:abstractNumId w:val="37"/>
  </w:num>
  <w:num w:numId="23" w16cid:durableId="1962220583">
    <w:abstractNumId w:val="2"/>
  </w:num>
  <w:num w:numId="24" w16cid:durableId="1664116836">
    <w:abstractNumId w:val="30"/>
  </w:num>
  <w:num w:numId="25" w16cid:durableId="1456634961">
    <w:abstractNumId w:val="3"/>
  </w:num>
  <w:num w:numId="26" w16cid:durableId="387732093">
    <w:abstractNumId w:val="32"/>
  </w:num>
  <w:num w:numId="27" w16cid:durableId="1421490199">
    <w:abstractNumId w:val="21"/>
  </w:num>
  <w:num w:numId="28" w16cid:durableId="1822961465">
    <w:abstractNumId w:val="14"/>
  </w:num>
  <w:num w:numId="29" w16cid:durableId="67963612">
    <w:abstractNumId w:val="17"/>
  </w:num>
  <w:num w:numId="30" w16cid:durableId="395083609">
    <w:abstractNumId w:val="27"/>
  </w:num>
  <w:num w:numId="31" w16cid:durableId="763495363">
    <w:abstractNumId w:val="20"/>
  </w:num>
  <w:num w:numId="32" w16cid:durableId="474220828">
    <w:abstractNumId w:val="6"/>
  </w:num>
  <w:num w:numId="33" w16cid:durableId="1072584754">
    <w:abstractNumId w:val="28"/>
  </w:num>
  <w:num w:numId="34" w16cid:durableId="224874562">
    <w:abstractNumId w:val="10"/>
  </w:num>
  <w:num w:numId="35" w16cid:durableId="46924624">
    <w:abstractNumId w:val="18"/>
  </w:num>
  <w:num w:numId="36" w16cid:durableId="386295818">
    <w:abstractNumId w:val="16"/>
  </w:num>
  <w:num w:numId="37" w16cid:durableId="68508273">
    <w:abstractNumId w:val="22"/>
  </w:num>
  <w:num w:numId="38" w16cid:durableId="3673364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73D"/>
    <w:rsid w:val="001B4B27"/>
    <w:rsid w:val="00AD573D"/>
    <w:rsid w:val="00DD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94E099"/>
  <w15:docId w15:val="{09569589-7DB6-407F-BF10-61683482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1693</Words>
  <Characters>1812</Characters>
  <Application>Microsoft Office Word</Application>
  <DocSecurity>0</DocSecurity>
  <Lines>106</Lines>
  <Paragraphs>166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 drip</cp:lastModifiedBy>
  <cp:revision>2</cp:revision>
  <dcterms:created xsi:type="dcterms:W3CDTF">2026-06-28T16:05:00Z</dcterms:created>
  <dcterms:modified xsi:type="dcterms:W3CDTF">2026-06-28T16:08:00Z</dcterms:modified>
</cp:coreProperties>
</file>