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sz w:val="80"/>
          <w:szCs w:val="80"/>
        </w:rPr>
        <w:t xml:space="preserve">🪐</w:t>
      </w:r>
    </w:p>
    <w:p>
      <w:pPr>
        <w:spacing w:before="0" w:after="160"/>
        <w:jc w:val="center"/>
      </w:pPr>
      <w:r>
        <w:rPr>
          <w:rFonts w:ascii="Georgia" w:cs="Georgia" w:eastAsia="Georgia" w:hAnsi="Georgia"/>
          <w:b/>
          <w:bCs/>
          <w:color w:val="1A1A2E"/>
          <w:sz w:val="64"/>
          <w:szCs w:val="64"/>
        </w:rPr>
        <w:t xml:space="preserve">Jupiter_Plan</w:t>
      </w:r>
    </w:p>
    <w:p>
      <w:pPr>
        <w:spacing w:before="0" w:after="400"/>
        <w:jc w:val="center"/>
      </w:pPr>
      <w:r>
        <w:rPr>
          <w:rFonts w:ascii="Calibri" w:cs="Calibri" w:eastAsia="Calibri" w:hAnsi="Calibri"/>
          <w:color w:val="C4622D"/>
          <w:sz w:val="28"/>
          <w:szCs w:val="28"/>
        </w:rPr>
        <w:t xml:space="preserve">Le copilote financier des PME africaines</w:t>
      </w:r>
    </w:p>
    <w:p>
      <w:pPr>
        <w:spacing w:before="0" w:after="160"/>
        <w:jc w:val="center"/>
      </w:pPr>
      <w:r>
        <w:rPr>
          <w:rFonts w:ascii="Calibri" w:cs="Calibri" w:eastAsia="Calibri" w:hAnsi="Calibri"/>
          <w:b/>
          <w:bCs/>
          <w:color w:val="5A5570"/>
          <w:spacing w:val="60"/>
          <w:sz w:val="20"/>
          <w:szCs w:val="20"/>
        </w:rPr>
        <w:t xml:space="preserve">NOTE DE PRÉSENTATION — CONFIDENTIELLE</w:t>
      </w:r>
    </w:p>
    <w:p>
      <w:pPr>
        <w:jc w:val="center"/>
      </w:pPr>
      <w:r>
        <w:rPr>
          <w:rFonts w:ascii="Calibri" w:cs="Calibri" w:eastAsia="Calibri" w:hAnsi="Calibri"/>
          <w:color w:val="5A5570"/>
          <w:sz w:val="22"/>
          <w:szCs w:val="22"/>
        </w:rPr>
        <w:t xml:space="preserve">Mars 2026</w:t>
      </w:r>
    </w:p>
    <w:p>
      <w:r>
        <w:br w:type="page"/>
      </w:r>
    </w:p>
    <w:p>
      <w:pPr>
        <w:spacing w:before="320" w:after="80"/>
      </w:pPr>
      <w:r>
        <w:rPr>
          <w:rFonts w:ascii="Calibri" w:cs="Calibri" w:eastAsia="Calibri" w:hAnsi="Calibri"/>
          <w:b/>
          <w:bCs/>
          <w:color w:val="C4622D"/>
          <w:spacing w:val="80"/>
          <w:sz w:val="18"/>
          <w:szCs w:val="18"/>
        </w:rPr>
        <w:t xml:space="preserve">1. VISION &amp; POSITIONNEMENT</w:t>
      </w:r>
    </w:p>
    <w:p>
      <w:pPr>
        <w:pStyle w:val="Heading1"/>
        <w:spacing w:before="400" w:after="160"/>
      </w:pPr>
      <w:r>
        <w:rPr>
          <w:rFonts w:ascii="Georgia" w:cs="Georgia" w:eastAsia="Georgia" w:hAnsi="Georgia"/>
          <w:b/>
          <w:bCs/>
          <w:color w:val="1A1A2E"/>
          <w:sz w:val="40"/>
          <w:szCs w:val="40"/>
        </w:rPr>
        <w:t xml:space="preserve">Jupiter_Plan — Qu'est-ce que c'est ?</w:t>
      </w:r>
    </w:p>
    <w:p>
      <w:pPr>
        <w:spacing w:before="80" w:after="120"/>
      </w:pPr>
      <w:r>
        <w:rPr>
          <w:rFonts w:ascii="Calibri" w:cs="Calibri" w:eastAsia="Calibri" w:hAnsi="Calibri"/>
          <w:b w:val="false"/>
          <w:bCs w:val="false"/>
          <w:color w:val="5A5570"/>
          <w:sz w:val="22"/>
          <w:szCs w:val="22"/>
        </w:rPr>
        <w:t xml:space="preserve">Jupiter_Plan est une application SaaS de planification et analyse financière (FP&amp;A) conçue spécifiquement pour les petites et moyennes entreprises d'Afrique de l'Ouest francophone.</w:t>
      </w:r>
    </w:p>
    <w:p>
      <w:pPr>
        <w:spacing w:before="80" w:after="120"/>
      </w:pPr>
      <w:r>
        <w:rPr>
          <w:rFonts w:ascii="Calibri" w:cs="Calibri" w:eastAsia="Calibri" w:hAnsi="Calibri"/>
          <w:b w:val="false"/>
          <w:bCs w:val="false"/>
          <w:color w:val="5A5570"/>
          <w:sz w:val="22"/>
          <w:szCs w:val="22"/>
        </w:rPr>
        <w:t xml:space="preserve">Notre mission : donner aux PME africaines les mêmes outils de pilotage financier que les grandes entreprises — à un prix adapté à leur réalité, en français, sur mobile, avec le plan comptable SYSCOHADA natif.</w:t>
      </w:r>
    </w:p>
    <w:p>
      <w:pPr>
        <w:pBdr>
          <w:bottom w:val="single" w:color="C4622D" w:sz="4" w:space="1"/>
        </w:pBdr>
        <w:spacing w:before="160" w:after="160"/>
      </w:pPr>
    </w:p>
    <w:p>
      <w:pPr>
        <w:spacing w:before="320" w:after="80"/>
      </w:pPr>
      <w:r>
        <w:rPr>
          <w:rFonts w:ascii="Calibri" w:cs="Calibri" w:eastAsia="Calibri" w:hAnsi="Calibri"/>
          <w:b/>
          <w:bCs/>
          <w:color w:val="C4622D"/>
          <w:spacing w:val="80"/>
          <w:sz w:val="18"/>
          <w:szCs w:val="18"/>
        </w:rPr>
        <w:t xml:space="preserve">LE PROBLÈME QUE NOUS RÉSOLVONS</w:t>
      </w:r>
    </w:p>
    <w:p>
      <w:pPr>
        <w:pStyle w:val="Heading2"/>
        <w:spacing w:before="240" w:after="160"/>
      </w:pPr>
      <w:r>
        <w:rPr>
          <w:rFonts w:ascii="Georgia" w:cs="Georgia" w:eastAsia="Georgia" w:hAnsi="Georgia"/>
          <w:b/>
          <w:bCs/>
          <w:color w:val="1A1A2E"/>
          <w:sz w:val="32"/>
          <w:szCs w:val="32"/>
        </w:rPr>
        <w:t xml:space="preserve">Un marché massif et sous-équipé</w:t>
      </w:r>
    </w:p>
    <w:p>
      <w:pPr>
        <w:spacing w:before="80" w:after="120"/>
      </w:pPr>
      <w:r>
        <w:rPr>
          <w:rFonts w:ascii="Calibri" w:cs="Calibri" w:eastAsia="Calibri" w:hAnsi="Calibri"/>
          <w:b w:val="false"/>
          <w:bCs w:val="false"/>
          <w:color w:val="5A5570"/>
          <w:sz w:val="22"/>
          <w:szCs w:val="22"/>
        </w:rPr>
        <w:t xml:space="preserve">Aujourd'hui, 78% des PME en Afrique de l'Ouest gèrent leurs finances avec Excel, des cahiers, ou aucun outil structuré. Les conséquences sont graves :</w:t>
      </w:r>
    </w:p>
    <w:p>
      <w:pPr>
        <w:pStyle w:val="ListParagraph"/>
        <w:numPr>
          <w:ilvl w:val="0"/>
          <w:numId w:val="2"/>
        </w:numPr>
        <w:spacing w:before="40" w:after="40"/>
      </w:pPr>
      <w:r>
        <w:rPr>
          <w:rFonts w:ascii="Calibri" w:cs="Calibri" w:eastAsia="Calibri" w:hAnsi="Calibri"/>
          <w:color w:val="5A5570"/>
          <w:sz w:val="22"/>
          <w:szCs w:val="22"/>
        </w:rPr>
        <w:t xml:space="preserve">Décisions prises sur des données vieilles de 30 à 60 jours</w:t>
      </w:r>
    </w:p>
    <w:p>
      <w:pPr>
        <w:pStyle w:val="ListParagraph"/>
        <w:numPr>
          <w:ilvl w:val="0"/>
          <w:numId w:val="2"/>
        </w:numPr>
        <w:spacing w:before="40" w:after="40"/>
      </w:pPr>
      <w:r>
        <w:rPr>
          <w:rFonts w:ascii="Calibri" w:cs="Calibri" w:eastAsia="Calibri" w:hAnsi="Calibri"/>
          <w:color w:val="5A5570"/>
          <w:sz w:val="22"/>
          <w:szCs w:val="22"/>
        </w:rPr>
        <w:t xml:space="preserve">Zéro visibilité sur la trésorerie réelle — les dirigeants découvrent les problèmes trop tard</w:t>
      </w:r>
    </w:p>
    <w:p>
      <w:pPr>
        <w:pStyle w:val="ListParagraph"/>
        <w:numPr>
          <w:ilvl w:val="0"/>
          <w:numId w:val="2"/>
        </w:numPr>
        <w:spacing w:before="40" w:after="40"/>
      </w:pPr>
      <w:r>
        <w:rPr>
          <w:rFonts w:ascii="Calibri" w:cs="Calibri" w:eastAsia="Calibri" w:hAnsi="Calibri"/>
          <w:color w:val="5A5570"/>
          <w:sz w:val="22"/>
          <w:szCs w:val="22"/>
        </w:rPr>
        <w:t xml:space="preserve">Non-conformité SYSCOHADA — risques légaux et fiscaux pour les associés</w:t>
      </w:r>
    </w:p>
    <w:p>
      <w:pPr>
        <w:pStyle w:val="ListParagraph"/>
        <w:numPr>
          <w:ilvl w:val="0"/>
          <w:numId w:val="2"/>
        </w:numPr>
        <w:spacing w:before="40" w:after="40"/>
      </w:pPr>
      <w:r>
        <w:rPr>
          <w:rFonts w:ascii="Calibri" w:cs="Calibri" w:eastAsia="Calibri" w:hAnsi="Calibri"/>
          <w:color w:val="5A5570"/>
          <w:sz w:val="22"/>
          <w:szCs w:val="22"/>
        </w:rPr>
        <w:t xml:space="preserve">Impossible de comparer Budget vs Réel en temps réel</w:t>
      </w:r>
    </w:p>
    <w:p>
      <w:pPr>
        <w:pStyle w:val="ListParagraph"/>
        <w:numPr>
          <w:ilvl w:val="0"/>
          <w:numId w:val="2"/>
        </w:numPr>
        <w:spacing w:before="40" w:after="40"/>
      </w:pPr>
      <w:r>
        <w:rPr>
          <w:rFonts w:ascii="Calibri" w:cs="Calibri" w:eastAsia="Calibri" w:hAnsi="Calibri"/>
          <w:color w:val="5A5570"/>
          <w:sz w:val="22"/>
          <w:szCs w:val="22"/>
        </w:rPr>
        <w:t xml:space="preserve">Les banques refusent les crédits faute de reporting financier fiable</w:t>
      </w:r>
    </w:p>
    <w:p>
      <w:r>
        <w:br w:type="page"/>
      </w:r>
    </w:p>
    <w:p>
      <w:pPr>
        <w:spacing w:before="320" w:after="80"/>
      </w:pPr>
      <w:r>
        <w:rPr>
          <w:rFonts w:ascii="Calibri" w:cs="Calibri" w:eastAsia="Calibri" w:hAnsi="Calibri"/>
          <w:b/>
          <w:bCs/>
          <w:color w:val="C4622D"/>
          <w:spacing w:val="80"/>
          <w:sz w:val="18"/>
          <w:szCs w:val="18"/>
        </w:rPr>
        <w:t xml:space="preserve">2. LA SOLUTION</w:t>
      </w:r>
    </w:p>
    <w:p>
      <w:pPr>
        <w:pStyle w:val="Heading1"/>
        <w:spacing w:before="400" w:after="160"/>
      </w:pPr>
      <w:r>
        <w:rPr>
          <w:rFonts w:ascii="Georgia" w:cs="Georgia" w:eastAsia="Georgia" w:hAnsi="Georgia"/>
          <w:b/>
          <w:bCs/>
          <w:color w:val="1A1A2E"/>
          <w:sz w:val="40"/>
          <w:szCs w:val="40"/>
        </w:rPr>
        <w:t xml:space="preserve">Les modules Jupiter_Plan V1</w:t>
      </w:r>
    </w:p>
    <w:p>
      <w:pPr>
        <w:spacing w:before="80" w:after="120"/>
      </w:pPr>
      <w:r>
        <w:rPr>
          <w:rFonts w:ascii="Calibri" w:cs="Calibri" w:eastAsia="Calibri" w:hAnsi="Calibri"/>
          <w:b w:val="false"/>
          <w:bCs w:val="false"/>
          <w:color w:val="5A5570"/>
          <w:sz w:val="22"/>
          <w:szCs w:val="22"/>
        </w:rPr>
        <w:t xml:space="preserve">Jupiter_Plan couvre l'ensemble du cycle FP&amp;A en une seule application intégrée :</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Budget &amp; Prévisionnel</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Workflow DRAFT→SUBMITTED→APPROVED→LOCKED · Plan comptable SYSCOHADA natif · Budget vs Réel · Collaboration par département</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 Transactions &amp; Import</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Saisie manuelle ou import Excel · Validation SYSCOHADA automatique · Réconciliation bancaire · Import en masse</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Dashboard &amp; KPIs</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CA, EBITDA, Marge, Runway de trésorerie · Alertes intelligentes · Mobile-first pour dirigeants · Mise à jour temps réel</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 Scénarios &amp; Simulation</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3 types : Pessimiste / Base / Optimiste · Hypothèses paramétrables · Comparaison simultanée jusqu'à 4 scénarios</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Cash Flow &amp; Trésorerie</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Plan glissant 13 semaines · Gestion des comptes bancaires · Mobile Money (Wave / Orange / MTN) · Alertes runway</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 Rapports &amp; Export</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Export PDF et Excel · Rapports par période · Tableaux de bord exécutifs pour associés et banquiers</w:t>
            </w:r>
          </w:p>
        </w:tc>
      </w:tr>
    </w:tbl>
    <w:p>
      <w:pPr>
        <w:pBdr>
          <w:bottom w:val="single" w:color="2D6A4F" w:sz="4" w:space="1"/>
        </w:pBdr>
        <w:spacing w:before="160" w:after="160"/>
      </w:pPr>
    </w:p>
    <w:p>
      <w:pPr>
        <w:spacing w:before="320" w:after="80"/>
      </w:pPr>
      <w:r>
        <w:rPr>
          <w:rFonts w:ascii="Calibri" w:cs="Calibri" w:eastAsia="Calibri" w:hAnsi="Calibri"/>
          <w:b/>
          <w:bCs/>
          <w:color w:val="2D6A4F"/>
          <w:spacing w:val="80"/>
          <w:sz w:val="18"/>
          <w:szCs w:val="18"/>
        </w:rPr>
        <w:t xml:space="preserve">3. COMMENT UTILISER JUPITER_PLAN</w:t>
      </w:r>
    </w:p>
    <w:p>
      <w:pPr>
        <w:pStyle w:val="Heading2"/>
        <w:spacing w:before="240" w:after="160"/>
      </w:pPr>
      <w:r>
        <w:rPr>
          <w:rFonts w:ascii="Georgia" w:cs="Georgia" w:eastAsia="Georgia" w:hAnsi="Georgia"/>
          <w:b/>
          <w:bCs/>
          <w:color w:val="1A1A2E"/>
          <w:sz w:val="32"/>
          <w:szCs w:val="32"/>
        </w:rPr>
        <w:t xml:space="preserve">Guide d'utilisation — 5 étapes</w:t>
      </w:r>
    </w:p>
    <w:p>
      <w:pPr>
        <w:pStyle w:val="Heading3"/>
        <w:spacing w:before="240" w:after="160"/>
      </w:pPr>
      <w:r>
        <w:rPr>
          <w:rFonts w:ascii="Georgia" w:cs="Georgia" w:eastAsia="Georgia" w:hAnsi="Georgia"/>
          <w:b/>
          <w:bCs/>
          <w:color w:val="1A1A2E"/>
          <w:sz w:val="26"/>
          <w:szCs w:val="26"/>
        </w:rPr>
        <w:t xml:space="preserve">Étape 1 — Créer et gérer son budget</w:t>
      </w:r>
    </w:p>
    <w:p>
      <w:pPr>
        <w:spacing w:before="80" w:after="120"/>
      </w:pPr>
      <w:r>
        <w:rPr>
          <w:rFonts w:ascii="Calibri" w:cs="Calibri" w:eastAsia="Calibri" w:hAnsi="Calibri"/>
          <w:b w:val="false"/>
          <w:bCs w:val="false"/>
          <w:color w:val="5A5570"/>
          <w:sz w:val="22"/>
          <w:szCs w:val="22"/>
        </w:rPr>
        <w:t xml:space="preserve">Le FP&amp;A ou le SUPER_ADMIN crée le budget en DRAFT et ajoute les lignes budgétaires par département avec les codes SYSCOHADA correspondants (701100 pour Ventes locales, 601000 pour Achats...). Chaque ligne est assignée à un département.</w:t>
      </w:r>
    </w:p>
    <w:p>
      <w:pPr>
        <w:pStyle w:val="ListParagraph"/>
        <w:numPr>
          <w:ilvl w:val="0"/>
          <w:numId w:val="2"/>
        </w:numPr>
        <w:spacing w:before="40" w:after="40"/>
      </w:pPr>
      <w:r>
        <w:rPr>
          <w:rFonts w:ascii="Calibri" w:cs="Calibri" w:eastAsia="Calibri" w:hAnsi="Calibri"/>
          <w:color w:val="5A5570"/>
          <w:sz w:val="22"/>
          <w:szCs w:val="22"/>
        </w:rPr>
        <w:t xml:space="preserve">Cliquer sur Budget → Nouveau budget</w:t>
      </w:r>
    </w:p>
    <w:p>
      <w:pPr>
        <w:pStyle w:val="ListParagraph"/>
        <w:numPr>
          <w:ilvl w:val="0"/>
          <w:numId w:val="2"/>
        </w:numPr>
        <w:spacing w:before="40" w:after="40"/>
      </w:pPr>
      <w:r>
        <w:rPr>
          <w:rFonts w:ascii="Calibri" w:cs="Calibri" w:eastAsia="Calibri" w:hAnsi="Calibri"/>
          <w:color w:val="5A5570"/>
          <w:sz w:val="22"/>
          <w:szCs w:val="22"/>
        </w:rPr>
        <w:t xml:space="preserve">Sélectionner l'exercice fiscal (FY2026)</w:t>
      </w:r>
    </w:p>
    <w:p>
      <w:pPr>
        <w:pStyle w:val="ListParagraph"/>
        <w:numPr>
          <w:ilvl w:val="0"/>
          <w:numId w:val="2"/>
        </w:numPr>
        <w:spacing w:before="40" w:after="40"/>
      </w:pPr>
      <w:r>
        <w:rPr>
          <w:rFonts w:ascii="Calibri" w:cs="Calibri" w:eastAsia="Calibri" w:hAnsi="Calibri"/>
          <w:color w:val="5A5570"/>
          <w:sz w:val="22"/>
          <w:szCs w:val="22"/>
        </w:rPr>
        <w:t xml:space="preserve">Ajouter les lignes via + Ajouter une ligne</w:t>
      </w:r>
    </w:p>
    <w:p>
      <w:pPr>
        <w:pStyle w:val="ListParagraph"/>
        <w:numPr>
          <w:ilvl w:val="0"/>
          <w:numId w:val="2"/>
        </w:numPr>
        <w:spacing w:before="40" w:after="40"/>
      </w:pPr>
      <w:r>
        <w:rPr>
          <w:rFonts w:ascii="Calibri" w:cs="Calibri" w:eastAsia="Calibri" w:hAnsi="Calibri"/>
          <w:color w:val="5A5570"/>
          <w:sz w:val="22"/>
          <w:szCs w:val="22"/>
        </w:rPr>
        <w:t xml:space="preserve">Assigner les contributeurs par département</w:t>
      </w:r>
    </w:p>
    <w:p>
      <w:pPr>
        <w:pStyle w:val="ListParagraph"/>
        <w:numPr>
          <w:ilvl w:val="0"/>
          <w:numId w:val="2"/>
        </w:numPr>
        <w:spacing w:before="40" w:after="40"/>
      </w:pPr>
      <w:r>
        <w:rPr>
          <w:rFonts w:ascii="Calibri" w:cs="Calibri" w:eastAsia="Calibri" w:hAnsi="Calibri"/>
          <w:color w:val="5A5570"/>
          <w:sz w:val="22"/>
          <w:szCs w:val="22"/>
        </w:rPr>
        <w:t xml:space="preserve">Soumettre → Approuver → Verrouiller</w:t>
      </w:r>
    </w:p>
    <w:p>
      <w:pPr>
        <w:spacing w:before="120" w:after="0"/>
      </w:pPr>
    </w:p>
    <w:p>
      <w:pPr>
        <w:pStyle w:val="Heading3"/>
        <w:spacing w:before="240" w:after="160"/>
      </w:pPr>
      <w:r>
        <w:rPr>
          <w:rFonts w:ascii="Georgia" w:cs="Georgia" w:eastAsia="Georgia" w:hAnsi="Georgia"/>
          <w:b/>
          <w:bCs/>
          <w:color w:val="1A1A2E"/>
          <w:sz w:val="26"/>
          <w:szCs w:val="26"/>
        </w:rPr>
        <w:t xml:space="preserve">Étape 2 — Saisir ou importer des transactions</w:t>
      </w:r>
    </w:p>
    <w:p>
      <w:pPr>
        <w:spacing w:before="80" w:after="120"/>
      </w:pPr>
      <w:r>
        <w:rPr>
          <w:rFonts w:ascii="Calibri" w:cs="Calibri" w:eastAsia="Calibri" w:hAnsi="Calibri"/>
          <w:b w:val="false"/>
          <w:bCs w:val="false"/>
          <w:color w:val="5A5570"/>
          <w:sz w:val="22"/>
          <w:szCs w:val="22"/>
        </w:rPr>
        <w:t xml:space="preserve">Les transactions représentent les mouvements financiers réels (revenus encaissés, charges payées). Elles peuvent être saisies manuellement ou importées depuis un fichier Excel.</w:t>
      </w:r>
    </w:p>
    <w:p>
      <w:pPr>
        <w:pStyle w:val="ListParagraph"/>
        <w:numPr>
          <w:ilvl w:val="0"/>
          <w:numId w:val="2"/>
        </w:numPr>
        <w:spacing w:before="40" w:after="40"/>
      </w:pPr>
      <w:r>
        <w:rPr>
          <w:rFonts w:ascii="Calibri" w:cs="Calibri" w:eastAsia="Calibri" w:hAnsi="Calibri"/>
          <w:color w:val="5A5570"/>
          <w:sz w:val="22"/>
          <w:szCs w:val="22"/>
        </w:rPr>
        <w:t xml:space="preserve">Cliquer sur Transactions → Saisir une transaction</w:t>
      </w:r>
    </w:p>
    <w:p>
      <w:pPr>
        <w:pStyle w:val="ListParagraph"/>
        <w:numPr>
          <w:ilvl w:val="0"/>
          <w:numId w:val="2"/>
        </w:numPr>
        <w:spacing w:before="40" w:after="40"/>
      </w:pPr>
      <w:r>
        <w:rPr>
          <w:rFonts w:ascii="Calibri" w:cs="Calibri" w:eastAsia="Calibri" w:hAnsi="Calibri"/>
          <w:color w:val="5A5570"/>
          <w:sz w:val="22"/>
          <w:szCs w:val="22"/>
        </w:rPr>
        <w:t xml:space="preserve">Remplir : Code SYSCOHADA, département, montant, date, période</w:t>
      </w:r>
    </w:p>
    <w:p>
      <w:pPr>
        <w:pStyle w:val="ListParagraph"/>
        <w:numPr>
          <w:ilvl w:val="0"/>
          <w:numId w:val="2"/>
        </w:numPr>
        <w:spacing w:before="40" w:after="40"/>
      </w:pPr>
      <w:r>
        <w:rPr>
          <w:rFonts w:ascii="Calibri" w:cs="Calibri" w:eastAsia="Calibri" w:hAnsi="Calibri"/>
          <w:color w:val="5A5570"/>
          <w:sz w:val="22"/>
          <w:szCs w:val="22"/>
        </w:rPr>
        <w:t xml:space="preserve">OU cliquer sur Importer Excel → uploader le fichier .xlsx</w:t>
      </w:r>
    </w:p>
    <w:p>
      <w:pPr>
        <w:pStyle w:val="ListParagraph"/>
        <w:numPr>
          <w:ilvl w:val="0"/>
          <w:numId w:val="2"/>
        </w:numPr>
        <w:spacing w:before="40" w:after="40"/>
      </w:pPr>
      <w:r>
        <w:rPr>
          <w:rFonts w:ascii="Calibri" w:cs="Calibri" w:eastAsia="Calibri" w:hAnsi="Calibri"/>
          <w:color w:val="5A5570"/>
          <w:sz w:val="22"/>
          <w:szCs w:val="22"/>
        </w:rPr>
        <w:t xml:space="preserve">Valider les transactions pour qu'elles soient prises en compte dans les KPIs</w:t>
      </w:r>
    </w:p>
    <w:p>
      <w:pPr>
        <w:spacing w:before="120" w:after="0"/>
      </w:pPr>
    </w:p>
    <w:p>
      <w:pPr>
        <w:pStyle w:val="Heading3"/>
        <w:spacing w:before="240" w:after="160"/>
      </w:pPr>
      <w:r>
        <w:rPr>
          <w:rFonts w:ascii="Georgia" w:cs="Georgia" w:eastAsia="Georgia" w:hAnsi="Georgia"/>
          <w:b/>
          <w:bCs/>
          <w:color w:val="1A1A2E"/>
          <w:sz w:val="26"/>
          <w:szCs w:val="26"/>
        </w:rPr>
        <w:t xml:space="preserve">Étape 3 — Analyser les KPIs</w:t>
      </w:r>
    </w:p>
    <w:p>
      <w:pPr>
        <w:spacing w:before="80" w:after="120"/>
      </w:pPr>
      <w:r>
        <w:rPr>
          <w:rFonts w:ascii="Calibri" w:cs="Calibri" w:eastAsia="Calibri" w:hAnsi="Calibri"/>
          <w:b w:val="false"/>
          <w:bCs w:val="false"/>
          <w:color w:val="5A5570"/>
          <w:sz w:val="22"/>
          <w:szCs w:val="22"/>
        </w:rPr>
        <w:t xml:space="preserve">Une fois les transactions validées, les KPIs peuvent être calculés pour n'importe quelle période. Le système compare automatiquement le Budget vs le Réel.</w:t>
      </w:r>
    </w:p>
    <w:p>
      <w:pPr>
        <w:pStyle w:val="ListParagraph"/>
        <w:numPr>
          <w:ilvl w:val="0"/>
          <w:numId w:val="2"/>
        </w:numPr>
        <w:spacing w:before="40" w:after="40"/>
      </w:pPr>
      <w:r>
        <w:rPr>
          <w:rFonts w:ascii="Calibri" w:cs="Calibri" w:eastAsia="Calibri" w:hAnsi="Calibri"/>
          <w:color w:val="5A5570"/>
          <w:sz w:val="22"/>
          <w:szCs w:val="22"/>
        </w:rPr>
        <w:t xml:space="preserve">Aller dans KPIs → Sélectionner la période → Calculer les KPIs</w:t>
      </w:r>
    </w:p>
    <w:p>
      <w:pPr>
        <w:pStyle w:val="ListParagraph"/>
        <w:numPr>
          <w:ilvl w:val="0"/>
          <w:numId w:val="2"/>
        </w:numPr>
        <w:spacing w:before="40" w:after="40"/>
      </w:pPr>
      <w:r>
        <w:rPr>
          <w:rFonts w:ascii="Calibri" w:cs="Calibri" w:eastAsia="Calibri" w:hAnsi="Calibri"/>
          <w:color w:val="5A5570"/>
          <w:sz w:val="22"/>
          <w:szCs w:val="22"/>
        </w:rPr>
        <w:t xml:space="preserve">Consulter : CA, EBITDA, Marge EBITDA, Charges totales, Runway</w:t>
      </w:r>
    </w:p>
    <w:p>
      <w:pPr>
        <w:pStyle w:val="ListParagraph"/>
        <w:numPr>
          <w:ilvl w:val="0"/>
          <w:numId w:val="2"/>
        </w:numPr>
        <w:spacing w:before="40" w:after="40"/>
      </w:pPr>
      <w:r>
        <w:rPr>
          <w:rFonts w:ascii="Calibri" w:cs="Calibri" w:eastAsia="Calibri" w:hAnsi="Calibri"/>
          <w:color w:val="5A5570"/>
          <w:sz w:val="22"/>
          <w:szCs w:val="22"/>
        </w:rPr>
        <w:t xml:space="preserve">Les alertes CRITIQUE et AVERTISSEMENT s'affichent automatiquement</w:t>
      </w:r>
    </w:p>
    <w:p>
      <w:pPr>
        <w:spacing w:before="120" w:after="0"/>
      </w:pPr>
    </w:p>
    <w:p>
      <w:pPr>
        <w:pStyle w:val="Heading3"/>
        <w:spacing w:before="240" w:after="160"/>
      </w:pPr>
      <w:r>
        <w:rPr>
          <w:rFonts w:ascii="Georgia" w:cs="Georgia" w:eastAsia="Georgia" w:hAnsi="Georgia"/>
          <w:b/>
          <w:bCs/>
          <w:color w:val="1A1A2E"/>
          <w:sz w:val="26"/>
          <w:szCs w:val="26"/>
        </w:rPr>
        <w:t xml:space="preserve">Étape 4 — Simuler des scénarios</w:t>
      </w:r>
    </w:p>
    <w:p>
      <w:pPr>
        <w:spacing w:before="80" w:after="120"/>
      </w:pPr>
      <w:r>
        <w:rPr>
          <w:rFonts w:ascii="Calibri" w:cs="Calibri" w:eastAsia="Calibri" w:hAnsi="Calibri"/>
          <w:b w:val="false"/>
          <w:bCs w:val="false"/>
          <w:color w:val="5A5570"/>
          <w:sz w:val="22"/>
          <w:szCs w:val="22"/>
        </w:rPr>
        <w:t xml:space="preserve">Jupiter_Plan permet de créer des projections financières basées sur des hypothèses paramétrables. Le calcul produit automatiquement le Compte de Résultat (IS), le Bilan (BS) et le Cash Flow (CF) du scénario.</w:t>
      </w:r>
    </w:p>
    <w:p>
      <w:pPr>
        <w:pStyle w:val="ListParagraph"/>
        <w:numPr>
          <w:ilvl w:val="0"/>
          <w:numId w:val="2"/>
        </w:numPr>
        <w:spacing w:before="40" w:after="40"/>
      </w:pPr>
      <w:r>
        <w:rPr>
          <w:rFonts w:ascii="Calibri" w:cs="Calibri" w:eastAsia="Calibri" w:hAnsi="Calibri"/>
          <w:color w:val="5A5570"/>
          <w:sz w:val="22"/>
          <w:szCs w:val="22"/>
        </w:rPr>
        <w:t xml:space="preserve">Aller dans Scénarios → Nouveau scénario</w:t>
      </w:r>
    </w:p>
    <w:p>
      <w:pPr>
        <w:pStyle w:val="ListParagraph"/>
        <w:numPr>
          <w:ilvl w:val="0"/>
          <w:numId w:val="2"/>
        </w:numPr>
        <w:spacing w:before="40" w:after="40"/>
      </w:pPr>
      <w:r>
        <w:rPr>
          <w:rFonts w:ascii="Calibri" w:cs="Calibri" w:eastAsia="Calibri" w:hAnsi="Calibri"/>
          <w:color w:val="5A5570"/>
          <w:sz w:val="22"/>
          <w:szCs w:val="22"/>
        </w:rPr>
        <w:t xml:space="preserve">Sélectionner le budget APPROVED comme base</w:t>
      </w:r>
    </w:p>
    <w:p>
      <w:pPr>
        <w:pStyle w:val="ListParagraph"/>
        <w:numPr>
          <w:ilvl w:val="0"/>
          <w:numId w:val="2"/>
        </w:numPr>
        <w:spacing w:before="40" w:after="40"/>
      </w:pPr>
      <w:r>
        <w:rPr>
          <w:rFonts w:ascii="Calibri" w:cs="Calibri" w:eastAsia="Calibri" w:hAnsi="Calibri"/>
          <w:color w:val="5A5570"/>
          <w:sz w:val="22"/>
          <w:szCs w:val="22"/>
        </w:rPr>
        <w:t xml:space="preserve">Choisir le type : BASE, OPTIMISTE, PESSIMISTE ou STRESS_TEST</w:t>
      </w:r>
    </w:p>
    <w:p>
      <w:pPr>
        <w:pStyle w:val="ListParagraph"/>
        <w:numPr>
          <w:ilvl w:val="0"/>
          <w:numId w:val="2"/>
        </w:numPr>
        <w:spacing w:before="40" w:after="40"/>
      </w:pPr>
      <w:r>
        <w:rPr>
          <w:rFonts w:ascii="Calibri" w:cs="Calibri" w:eastAsia="Calibri" w:hAnsi="Calibri"/>
          <w:color w:val="5A5570"/>
          <w:sz w:val="22"/>
          <w:szCs w:val="22"/>
        </w:rPr>
        <w:t xml:space="preserve">Ajouter les hypothèses : croissance CA (+20%), réduction charges (-5%)...</w:t>
      </w:r>
    </w:p>
    <w:p>
      <w:pPr>
        <w:pStyle w:val="ListParagraph"/>
        <w:numPr>
          <w:ilvl w:val="0"/>
          <w:numId w:val="2"/>
        </w:numPr>
        <w:spacing w:before="40" w:after="40"/>
      </w:pPr>
      <w:r>
        <w:rPr>
          <w:rFonts w:ascii="Calibri" w:cs="Calibri" w:eastAsia="Calibri" w:hAnsi="Calibri"/>
          <w:color w:val="5A5570"/>
          <w:sz w:val="22"/>
          <w:szCs w:val="22"/>
        </w:rPr>
        <w:t xml:space="preserve">Calculer → Sauvegarder → Comparer</w:t>
      </w:r>
    </w:p>
    <w:p>
      <w:pPr>
        <w:spacing w:before="120" w:after="0"/>
      </w:pPr>
    </w:p>
    <w:p>
      <w:pPr>
        <w:pStyle w:val="Heading3"/>
        <w:spacing w:before="240" w:after="160"/>
      </w:pPr>
      <w:r>
        <w:rPr>
          <w:rFonts w:ascii="Georgia" w:cs="Georgia" w:eastAsia="Georgia" w:hAnsi="Georgia"/>
          <w:b/>
          <w:bCs/>
          <w:color w:val="1A1A2E"/>
          <w:sz w:val="26"/>
          <w:szCs w:val="26"/>
        </w:rPr>
        <w:t xml:space="preserve">Étape 5 — Gérer la trésorerie</w:t>
      </w:r>
    </w:p>
    <w:p>
      <w:pPr>
        <w:spacing w:before="80" w:after="120"/>
      </w:pPr>
      <w:r>
        <w:rPr>
          <w:rFonts w:ascii="Calibri" w:cs="Calibri" w:eastAsia="Calibri" w:hAnsi="Calibri"/>
          <w:b w:val="false"/>
          <w:bCs w:val="false"/>
          <w:color w:val="5A5570"/>
          <w:sz w:val="22"/>
          <w:szCs w:val="22"/>
        </w:rPr>
        <w:t xml:space="preserve">Le module Cash Flow offre une vision à 13 semaines des entrées et sorties de trésorerie. Le Runway indique combien de semaines l'entreprise peut fonctionner avec sa trésorerie actuelle.</w:t>
      </w:r>
    </w:p>
    <w:p>
      <w:pPr>
        <w:pStyle w:val="ListParagraph"/>
        <w:numPr>
          <w:ilvl w:val="0"/>
          <w:numId w:val="2"/>
        </w:numPr>
        <w:spacing w:before="40" w:after="40"/>
      </w:pPr>
      <w:r>
        <w:rPr>
          <w:rFonts w:ascii="Calibri" w:cs="Calibri" w:eastAsia="Calibri" w:hAnsi="Calibri"/>
          <w:color w:val="5A5570"/>
          <w:sz w:val="22"/>
          <w:szCs w:val="22"/>
        </w:rPr>
        <w:t xml:space="preserve">Aller dans Cash Flow → Saisir un flux</w:t>
      </w:r>
    </w:p>
    <w:p>
      <w:pPr>
        <w:pStyle w:val="ListParagraph"/>
        <w:numPr>
          <w:ilvl w:val="0"/>
          <w:numId w:val="2"/>
        </w:numPr>
        <w:spacing w:before="40" w:after="40"/>
      </w:pPr>
      <w:r>
        <w:rPr>
          <w:rFonts w:ascii="Calibri" w:cs="Calibri" w:eastAsia="Calibri" w:hAnsi="Calibri"/>
          <w:color w:val="5A5570"/>
          <w:sz w:val="22"/>
          <w:szCs w:val="22"/>
        </w:rPr>
        <w:t xml:space="preserve">Catégories : Encaissement client, Décaissement fournisseur, Salaires, Impôts...</w:t>
      </w:r>
    </w:p>
    <w:p>
      <w:pPr>
        <w:pStyle w:val="ListParagraph"/>
        <w:numPr>
          <w:ilvl w:val="0"/>
          <w:numId w:val="2"/>
        </w:numPr>
        <w:spacing w:before="40" w:after="40"/>
      </w:pPr>
      <w:r>
        <w:rPr>
          <w:rFonts w:ascii="Calibri" w:cs="Calibri" w:eastAsia="Calibri" w:hAnsi="Calibri"/>
          <w:color w:val="5A5570"/>
          <w:sz w:val="22"/>
          <w:szCs w:val="22"/>
        </w:rPr>
        <w:t xml:space="preserve">Le tableau glissant 13 semaines se met à jour automatiquement</w:t>
      </w:r>
    </w:p>
    <w:p>
      <w:pPr>
        <w:pStyle w:val="ListParagraph"/>
        <w:numPr>
          <w:ilvl w:val="0"/>
          <w:numId w:val="2"/>
        </w:numPr>
        <w:spacing w:before="40" w:after="40"/>
      </w:pPr>
      <w:r>
        <w:rPr>
          <w:rFonts w:ascii="Calibri" w:cs="Calibri" w:eastAsia="Calibri" w:hAnsi="Calibri"/>
          <w:color w:val="5A5570"/>
          <w:sz w:val="22"/>
          <w:szCs w:val="22"/>
        </w:rPr>
        <w:t xml:space="preserve">Alerte CRITIQUE si Runway &lt; 4 semaines, AVERTISSEMENT si &lt; 8 semaines</w:t>
      </w:r>
    </w:p>
    <w:p>
      <w:r>
        <w:br w:type="page"/>
      </w:r>
    </w:p>
    <w:p>
      <w:pPr>
        <w:spacing w:before="320" w:after="80"/>
      </w:pPr>
      <w:r>
        <w:rPr>
          <w:rFonts w:ascii="Calibri" w:cs="Calibri" w:eastAsia="Calibri" w:hAnsi="Calibri"/>
          <w:b/>
          <w:bCs/>
          <w:color w:val="C4622D"/>
          <w:spacing w:val="80"/>
          <w:sz w:val="18"/>
          <w:szCs w:val="18"/>
        </w:rPr>
        <w:t xml:space="preserve">4. GESTION DES RÔLES &amp; SÉCURITÉ</w:t>
      </w:r>
    </w:p>
    <w:p>
      <w:pPr>
        <w:pStyle w:val="Heading1"/>
        <w:spacing w:before="400" w:after="160"/>
      </w:pPr>
      <w:r>
        <w:rPr>
          <w:rFonts w:ascii="Georgia" w:cs="Georgia" w:eastAsia="Georgia" w:hAnsi="Georgia"/>
          <w:b/>
          <w:bCs/>
          <w:color w:val="1A1A2E"/>
          <w:sz w:val="40"/>
          <w:szCs w:val="40"/>
        </w:rPr>
        <w:t xml:space="preserve">5 rôles pour une collaboration sécurisée</w:t>
      </w:r>
    </w:p>
    <w:p>
      <w:pPr>
        <w:spacing w:before="80" w:after="120"/>
      </w:pPr>
      <w:r>
        <w:rPr>
          <w:rFonts w:ascii="Calibri" w:cs="Calibri" w:eastAsia="Calibri" w:hAnsi="Calibri"/>
          <w:b w:val="false"/>
          <w:bCs w:val="false"/>
          <w:color w:val="5A5570"/>
          <w:sz w:val="22"/>
          <w:szCs w:val="22"/>
        </w:rPr>
        <w:t xml:space="preserve">Jupiter_Plan implémente un système de rôles granulaire. Chaque utilisateur voit uniquement ce qu'il est autorisé à voir :</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SUPER_ADMIN</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Accès total · Paramétrage · Gestion des droits · Approbation finale des budgets</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 FP&amp;A</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Modélisation · Budgets · Forecasts · Scénarios · Rapports · Dashboard complet</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CONTRIBUTEUR</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Saisie de son département uniquement · Pas d'accès aux autres départements</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 LECTEUR</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Dashboard consolidé en lecture seule · Idéal pour DG, associés, conseil d'administration</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 AUDITEUR</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Portail séparé · Accès temporaire avec date d'expiration · Logs complets · Révocable</w:t>
            </w:r>
          </w:p>
        </w:tc>
      </w:tr>
    </w:tbl>
    <w:p>
      <w:pPr>
        <w:spacing w:before="200" w:after="0"/>
      </w:pPr>
    </w:p>
    <w:p>
      <w:pPr>
        <w:spacing w:before="80" w:after="120"/>
      </w:pPr>
      <w:r>
        <w:rPr>
          <w:rFonts w:ascii="Calibri" w:cs="Calibri" w:eastAsia="Calibri" w:hAnsi="Calibri"/>
          <w:b/>
          <w:bCs/>
          <w:color w:val="2D6A4F"/>
          <w:sz w:val="22"/>
          <w:szCs w:val="22"/>
        </w:rPr>
        <w:t xml:space="preserve">Sécurité : Classification TIER 3 REGULATED (fintech) · Conformité ECOWAS · Données hébergées à Lagos, Afrique · Chiffrement bout en bout · Audit trail complet.</w:t>
      </w:r>
    </w:p>
    <w:p>
      <w:pPr>
        <w:pBdr>
          <w:bottom w:val="single" w:color="2D6A4F" w:sz="4" w:space="1"/>
        </w:pBdr>
        <w:spacing w:before="160" w:after="160"/>
      </w:pPr>
    </w:p>
    <w:p>
      <w:r>
        <w:br w:type="page"/>
      </w:r>
    </w:p>
    <w:p>
      <w:pPr>
        <w:spacing w:before="320" w:after="80"/>
      </w:pPr>
      <w:r>
        <w:rPr>
          <w:rFonts w:ascii="Calibri" w:cs="Calibri" w:eastAsia="Calibri" w:hAnsi="Calibri"/>
          <w:b/>
          <w:bCs/>
          <w:color w:val="C4622D"/>
          <w:spacing w:val="80"/>
          <w:sz w:val="18"/>
          <w:szCs w:val="18"/>
        </w:rPr>
        <w:t xml:space="preserve">5. AVANTAGES VS CONCURRENTS</w:t>
      </w:r>
    </w:p>
    <w:p>
      <w:pPr>
        <w:pStyle w:val="Heading1"/>
        <w:spacing w:before="400" w:after="160"/>
      </w:pPr>
      <w:r>
        <w:rPr>
          <w:rFonts w:ascii="Georgia" w:cs="Georgia" w:eastAsia="Georgia" w:hAnsi="Georgia"/>
          <w:b/>
          <w:bCs/>
          <w:color w:val="1A1A2E"/>
          <w:sz w:val="40"/>
          <w:szCs w:val="40"/>
        </w:rPr>
        <w:t xml:space="preserve">Pourquoi Jupiter_Plan ?</w:t>
      </w:r>
    </w:p>
    <w:p>
      <w:pPr>
        <w:spacing w:before="80" w:after="120"/>
      </w:pPr>
      <w:r>
        <w:rPr>
          <w:rFonts w:ascii="Calibri" w:cs="Calibri" w:eastAsia="Calibri" w:hAnsi="Calibri"/>
          <w:b w:val="false"/>
          <w:bCs w:val="false"/>
          <w:color w:val="5A5570"/>
          <w:sz w:val="22"/>
          <w:szCs w:val="22"/>
        </w:rPr>
        <w:t xml:space="preserve">Comparaison avec les alternatives disponibles sur le marché africain :</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280"/>
        <w:gridCol w:w="3000"/>
      </w:tblGrid>
      <w:tr>
        <w:trPr>
          <w:tblHeader/>
        </w:trPr>
        <w:tc>
          <w:tcPr>
            <w:tcW w:type="dxa" w:w="2400"/>
            <w:tcBorders>
              <w:top w:val="single" w:color="E8E2D9" w:sz="1"/>
              <w:left w:val="single" w:color="E8E2D9" w:sz="1"/>
              <w:bottom w:val="single" w:color="E8E2D9" w:sz="1"/>
              <w:right w:val="single" w:color="E8E2D9"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1680"/>
            <w:tcBorders>
              <w:top w:val="single" w:color="E8E2D9" w:sz="1"/>
              <w:left w:val="single" w:color="E8E2D9" w:sz="1"/>
              <w:bottom w:val="single" w:color="E8E2D9" w:sz="1"/>
              <w:right w:val="single" w:color="E8E2D9"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Excel</w:t>
            </w:r>
          </w:p>
        </w:tc>
        <w:tc>
          <w:tcPr>
            <w:tcW w:type="dxa" w:w="2280"/>
            <w:tcBorders>
              <w:top w:val="single" w:color="E8E2D9" w:sz="1"/>
              <w:left w:val="single" w:color="E8E2D9" w:sz="1"/>
              <w:bottom w:val="single" w:color="E8E2D9" w:sz="1"/>
              <w:right w:val="single" w:color="E8E2D9" w:sz="1"/>
            </w:tcBorders>
            <w:shd w:fill="1A1A2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ERP (SAP/Sage)</w:t>
            </w:r>
          </w:p>
        </w:tc>
        <w:tc>
          <w:tcPr>
            <w:tcW w:type="dxa" w:w="3000"/>
            <w:tcBorders>
              <w:top w:val="single" w:color="E8E2D9" w:sz="1"/>
              <w:left w:val="single" w:color="E8E2D9" w:sz="1"/>
              <w:bottom w:val="single" w:color="E8E2D9" w:sz="1"/>
              <w:right w:val="single" w:color="E8E2D9" w:sz="1"/>
            </w:tcBorders>
            <w:shd w:fill="C4622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Jupiter_Plan</w:t>
            </w:r>
          </w:p>
        </w:tc>
      </w:tr>
      <w:tr>
        <w:tc>
          <w:tcPr>
            <w:tcW w:type="dxa" w:w="24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SYSCOHADA natif</w:t>
            </w:r>
          </w:p>
        </w:tc>
        <w:tc>
          <w:tcPr>
            <w:tcW w:type="dxa" w:w="16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Manuel</w:t>
            </w:r>
          </w:p>
        </w:tc>
        <w:tc>
          <w:tcPr>
            <w:tcW w:type="dxa" w:w="22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Paramétrage lourd</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Intégré</w:t>
            </w:r>
          </w:p>
        </w:tc>
      </w:tr>
      <w:tr>
        <w:tc>
          <w:tcPr>
            <w:tcW w:type="dxa" w:w="24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Workflow approbation</w:t>
            </w:r>
          </w:p>
        </w:tc>
        <w:tc>
          <w:tcPr>
            <w:tcW w:type="dxa" w:w="16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w:t>
            </w:r>
          </w:p>
        </w:tc>
        <w:tc>
          <w:tcPr>
            <w:tcW w:type="dxa" w:w="22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Disponible</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Intégré</w:t>
            </w:r>
          </w:p>
        </w:tc>
      </w:tr>
      <w:tr>
        <w:tc>
          <w:tcPr>
            <w:tcW w:type="dxa" w:w="24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Mobile-first Afrique</w:t>
            </w:r>
          </w:p>
        </w:tc>
        <w:tc>
          <w:tcPr>
            <w:tcW w:type="dxa" w:w="16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w:t>
            </w:r>
          </w:p>
        </w:tc>
        <w:tc>
          <w:tcPr>
            <w:tcW w:type="dxa" w:w="22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Optimisé</w:t>
            </w:r>
          </w:p>
        </w:tc>
      </w:tr>
      <w:tr>
        <w:tc>
          <w:tcPr>
            <w:tcW w:type="dxa" w:w="24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Prix PME africaine</w:t>
            </w:r>
          </w:p>
        </w:tc>
        <w:tc>
          <w:tcPr>
            <w:tcW w:type="dxa" w:w="16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Gratuit (risqué)</w:t>
            </w:r>
          </w:p>
        </w:tc>
        <w:tc>
          <w:tcPr>
            <w:tcW w:type="dxa" w:w="22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500K–2M FCFA/mois</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50–150K FCFA/mois</w:t>
            </w:r>
          </w:p>
        </w:tc>
      </w:tr>
      <w:tr>
        <w:tc>
          <w:tcPr>
            <w:tcW w:type="dxa" w:w="24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Import Excel</w:t>
            </w:r>
          </w:p>
        </w:tc>
        <w:tc>
          <w:tcPr>
            <w:tcW w:type="dxa" w:w="16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N/A</w:t>
            </w:r>
          </w:p>
        </w:tc>
        <w:tc>
          <w:tcPr>
            <w:tcW w:type="dxa" w:w="22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Migration complexe</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1 clic</w:t>
            </w:r>
          </w:p>
        </w:tc>
      </w:tr>
      <w:tr>
        <w:tc>
          <w:tcPr>
            <w:tcW w:type="dxa" w:w="24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Dashboard temps réel</w:t>
            </w:r>
          </w:p>
        </w:tc>
        <w:tc>
          <w:tcPr>
            <w:tcW w:type="dxa" w:w="16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Statique</w:t>
            </w:r>
          </w:p>
        </w:tc>
        <w:tc>
          <w:tcPr>
            <w:tcW w:type="dxa" w:w="22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 Alertes IA</w:t>
            </w:r>
          </w:p>
        </w:tc>
      </w:tr>
      <w:tr>
        <w:tc>
          <w:tcPr>
            <w:tcW w:type="dxa" w:w="240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Hébergement Afrique</w:t>
            </w:r>
          </w:p>
        </w:tc>
        <w:tc>
          <w:tcPr>
            <w:tcW w:type="dxa" w:w="16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US/EU</w:t>
            </w:r>
          </w:p>
        </w:tc>
        <w:tc>
          <w:tcPr>
            <w:tcW w:type="dxa" w:w="228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US/EU</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Lagos, Afrique</w:t>
            </w:r>
          </w:p>
        </w:tc>
      </w:tr>
      <w:tr>
        <w:tc>
          <w:tcPr>
            <w:tcW w:type="dxa" w:w="24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Scénarios simulation</w:t>
            </w:r>
          </w:p>
        </w:tc>
        <w:tc>
          <w:tcPr>
            <w:tcW w:type="dxa" w:w="16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 Macros Excel</w:t>
            </w:r>
          </w:p>
        </w:tc>
        <w:tc>
          <w:tcPr>
            <w:tcW w:type="dxa" w:w="228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pPr>
              <w:jc w:val="center"/>
            </w:pPr>
            <w:r>
              <w:rPr>
                <w:rFonts w:ascii="Calibri" w:cs="Calibri" w:eastAsia="Calibri" w:hAnsi="Calibri"/>
                <w:b w:val="false"/>
                <w:bCs w:val="false"/>
                <w:color w:val="5A5570"/>
                <w:sz w:val="20"/>
                <w:szCs w:val="20"/>
              </w:rPr>
              <w:t xml:space="preserve">✅</w:t>
            </w:r>
          </w:p>
        </w:tc>
        <w:tc>
          <w:tcPr>
            <w:tcW w:type="dxa" w:w="3000"/>
            <w:tcBorders>
              <w:top w:val="single" w:color="E8E2D9" w:sz="1"/>
              <w:left w:val="single" w:color="E8E2D9" w:sz="1"/>
              <w:bottom w:val="single" w:color="E8E2D9" w:sz="1"/>
              <w:right w:val="single" w:color="E8E2D9" w:sz="1"/>
            </w:tcBorders>
            <w:shd w:fill="DFF0E8" w:val="clear"/>
            <w:tcMar>
              <w:top w:type="dxa" w:w="80"/>
              <w:left w:type="dxa" w:w="120"/>
              <w:bottom w:type="dxa" w:w="80"/>
              <w:right w:type="dxa" w:w="120"/>
            </w:tcMar>
          </w:tcPr>
          <w:p>
            <w:pPr>
              <w:jc w:val="center"/>
            </w:pPr>
            <w:r>
              <w:rPr>
                <w:rFonts w:ascii="Calibri" w:cs="Calibri" w:eastAsia="Calibri" w:hAnsi="Calibri"/>
                <w:b/>
                <w:bCs/>
                <w:color w:val="2D6A4F"/>
                <w:sz w:val="20"/>
                <w:szCs w:val="20"/>
              </w:rPr>
              <w:t xml:space="preserve">✅ Intuitif</w:t>
            </w:r>
          </w:p>
        </w:tc>
      </w:tr>
    </w:tbl>
    <w:p>
      <w:pPr>
        <w:pBdr>
          <w:bottom w:val="single" w:color="C4622D" w:sz="4" w:space="1"/>
        </w:pBdr>
        <w:spacing w:before="160" w:after="160"/>
      </w:pPr>
    </w:p>
    <w:p>
      <w:pPr>
        <w:spacing w:before="320" w:after="80"/>
      </w:pPr>
      <w:r>
        <w:rPr>
          <w:rFonts w:ascii="Calibri" w:cs="Calibri" w:eastAsia="Calibri" w:hAnsi="Calibri"/>
          <w:b/>
          <w:bCs/>
          <w:color w:val="C4622D"/>
          <w:spacing w:val="80"/>
          <w:sz w:val="18"/>
          <w:szCs w:val="18"/>
        </w:rPr>
        <w:t xml:space="preserve">6. MODÈLE ÉCONOMIQUE &amp; PRICING</w:t>
      </w:r>
    </w:p>
    <w:p>
      <w:pPr>
        <w:pStyle w:val="Heading1"/>
        <w:spacing w:before="400" w:after="160"/>
      </w:pPr>
      <w:r>
        <w:rPr>
          <w:rFonts w:ascii="Georgia" w:cs="Georgia" w:eastAsia="Georgia" w:hAnsi="Georgia"/>
          <w:b/>
          <w:bCs/>
          <w:color w:val="1A1A2E"/>
          <w:sz w:val="40"/>
          <w:szCs w:val="40"/>
        </w:rPr>
        <w:t xml:space="preserve">Abonnement SaaS mensuel — 3 plans</w:t>
      </w:r>
    </w:p>
    <w:p>
      <w:pPr>
        <w:spacing w:before="80" w:after="120"/>
      </w:pPr>
      <w:r>
        <w:rPr>
          <w:rFonts w:ascii="Calibri" w:cs="Calibri" w:eastAsia="Calibri" w:hAnsi="Calibri"/>
          <w:b w:val="false"/>
          <w:bCs w:val="false"/>
          <w:color w:val="5A5570"/>
          <w:sz w:val="22"/>
          <w:szCs w:val="22"/>
        </w:rPr>
        <w:t xml:space="preserve">Jupiter_Plan est commercialisé en mode SaaS avec facturation mensuelle. Pas de coût d'installation, pas de serveur à gérer.</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8E2D9" w:sz="1"/>
              <w:left w:val="single" w:color="E8E2D9" w:sz="1"/>
              <w:bottom w:val="single" w:color="E8E2D9" w:sz="1"/>
              <w:right w:val="single" w:color="E8E2D9" w:sz="1"/>
            </w:tcBorders>
            <w:shd w:fill="C4622D" w:val="clear"/>
            <w:tcMar>
              <w:top w:type="dxa" w:w="80"/>
              <w:left w:type="dxa" w:w="120"/>
              <w:bottom w:type="dxa" w:w="80"/>
              <w:right w:type="dxa" w:w="120"/>
            </w:tcMar>
          </w:tcPr>
          <w:p>
            <w:r>
              <w:rPr>
                <w:rFonts w:ascii="Calibri" w:cs="Calibri" w:eastAsia="Calibri" w:hAnsi="Calibri"/>
                <w:b/>
                <w:bCs/>
                <w:color w:val="FFFFFF"/>
                <w:sz w:val="20"/>
                <w:szCs w:val="20"/>
              </w:rPr>
              <w:t xml:space="preserve">Plan</w:t>
            </w:r>
          </w:p>
        </w:tc>
        <w:tc>
          <w:tcPr>
            <w:tcW w:type="dxa" w:w="2800"/>
            <w:tcBorders>
              <w:top w:val="single" w:color="E8E2D9" w:sz="1"/>
              <w:left w:val="single" w:color="E8E2D9" w:sz="1"/>
              <w:bottom w:val="single" w:color="E8E2D9" w:sz="1"/>
              <w:right w:val="single" w:color="E8E2D9" w:sz="1"/>
            </w:tcBorders>
            <w:shd w:fill="C4622D" w:val="clear"/>
            <w:tcMar>
              <w:top w:type="dxa" w:w="80"/>
              <w:left w:type="dxa" w:w="120"/>
              <w:bottom w:type="dxa" w:w="80"/>
              <w:right w:type="dxa" w:w="120"/>
            </w:tcMar>
          </w:tcPr>
          <w:p>
            <w:r>
              <w:rPr>
                <w:rFonts w:ascii="Calibri" w:cs="Calibri" w:eastAsia="Calibri" w:hAnsi="Calibri"/>
                <w:b/>
                <w:bCs/>
                <w:color w:val="FFFFFF"/>
                <w:sz w:val="20"/>
                <w:szCs w:val="20"/>
              </w:rPr>
              <w:t xml:space="preserve">Tarif mensuel</w:t>
            </w:r>
          </w:p>
        </w:tc>
        <w:tc>
          <w:tcPr>
            <w:tcW w:type="dxa" w:w="4560"/>
            <w:tcBorders>
              <w:top w:val="single" w:color="E8E2D9" w:sz="1"/>
              <w:left w:val="single" w:color="E8E2D9" w:sz="1"/>
              <w:bottom w:val="single" w:color="E8E2D9" w:sz="1"/>
              <w:right w:val="single" w:color="E8E2D9" w:sz="1"/>
            </w:tcBorders>
            <w:shd w:fill="C4622D" w:val="clear"/>
            <w:tcMar>
              <w:top w:type="dxa" w:w="80"/>
              <w:left w:type="dxa" w:w="120"/>
              <w:bottom w:type="dxa" w:w="80"/>
              <w:right w:type="dxa" w:w="120"/>
            </w:tcMar>
          </w:tcPr>
          <w:p>
            <w:r>
              <w:rPr>
                <w:rFonts w:ascii="Calibri" w:cs="Calibri" w:eastAsia="Calibri" w:hAnsi="Calibri"/>
                <w:b/>
                <w:bCs/>
                <w:color w:val="FFFFFF"/>
                <w:sz w:val="20"/>
                <w:szCs w:val="20"/>
              </w:rPr>
              <w:t xml:space="preserve">Inclus</w:t>
            </w:r>
          </w:p>
        </w:tc>
      </w:tr>
      <w:tr>
        <w:tc>
          <w:tcPr>
            <w:tcW w:type="dxa" w:w="200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bCs/>
                <w:color w:val="C4622D"/>
                <w:sz w:val="20"/>
                <w:szCs w:val="20"/>
              </w:rPr>
              <w:t xml:space="preserve">STARTER</w:t>
            </w:r>
          </w:p>
        </w:tc>
        <w:tc>
          <w:tcPr>
            <w:tcW w:type="dxa" w:w="280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bCs/>
                <w:color w:val="1A1A2E"/>
                <w:sz w:val="20"/>
                <w:szCs w:val="20"/>
              </w:rPr>
              <w:t xml:space="preserve">50 000 FCFA/mois</w:t>
            </w:r>
          </w:p>
        </w:tc>
        <w:tc>
          <w:tcPr>
            <w:tcW w:type="dxa" w:w="456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val="false"/>
                <w:bCs w:val="false"/>
                <w:color w:val="5A5570"/>
                <w:sz w:val="20"/>
                <w:szCs w:val="20"/>
              </w:rPr>
              <w:t xml:space="preserve">1–3 utilisateurs · Budget + Transactions · Dashboard basique · Support email</w:t>
            </w:r>
          </w:p>
        </w:tc>
      </w:tr>
      <w:tr>
        <w:tc>
          <w:tcPr>
            <w:tcW w:type="dxa" w:w="2000"/>
            <w:tcBorders>
              <w:top w:val="single" w:color="E8E2D9" w:sz="1"/>
              <w:left w:val="single" w:color="E8E2D9" w:sz="1"/>
              <w:bottom w:val="single" w:color="E8E2D9" w:sz="1"/>
              <w:right w:val="single" w:color="E8E2D9" w:sz="1"/>
            </w:tcBorders>
            <w:shd w:fill="F0E8E2" w:val="clear"/>
            <w:tcMar>
              <w:top w:type="dxa" w:w="100"/>
              <w:left w:type="dxa" w:w="120"/>
              <w:bottom w:type="dxa" w:w="100"/>
              <w:right w:type="dxa" w:w="120"/>
            </w:tcMar>
          </w:tcPr>
          <w:p>
            <w:r>
              <w:rPr>
                <w:rFonts w:ascii="Calibri" w:cs="Calibri" w:eastAsia="Calibri" w:hAnsi="Calibri"/>
                <w:b/>
                <w:bCs/>
                <w:color w:val="C4622D"/>
                <w:sz w:val="20"/>
                <w:szCs w:val="20"/>
              </w:rPr>
              <w:t xml:space="preserve">BUSINESS</w:t>
            </w:r>
          </w:p>
        </w:tc>
        <w:tc>
          <w:tcPr>
            <w:tcW w:type="dxa" w:w="2800"/>
            <w:tcBorders>
              <w:top w:val="single" w:color="E8E2D9" w:sz="1"/>
              <w:left w:val="single" w:color="E8E2D9" w:sz="1"/>
              <w:bottom w:val="single" w:color="E8E2D9" w:sz="1"/>
              <w:right w:val="single" w:color="E8E2D9" w:sz="1"/>
            </w:tcBorders>
            <w:shd w:fill="F0E8E2" w:val="clear"/>
            <w:tcMar>
              <w:top w:type="dxa" w:w="100"/>
              <w:left w:type="dxa" w:w="120"/>
              <w:bottom w:type="dxa" w:w="100"/>
              <w:right w:type="dxa" w:w="120"/>
            </w:tcMar>
          </w:tcPr>
          <w:p>
            <w:r>
              <w:rPr>
                <w:rFonts w:ascii="Calibri" w:cs="Calibri" w:eastAsia="Calibri" w:hAnsi="Calibri"/>
                <w:b/>
                <w:bCs/>
                <w:color w:val="1A1A2E"/>
                <w:sz w:val="20"/>
                <w:szCs w:val="20"/>
              </w:rPr>
              <w:t xml:space="preserve">100 000 FCFA/mois</w:t>
            </w:r>
          </w:p>
        </w:tc>
        <w:tc>
          <w:tcPr>
            <w:tcW w:type="dxa" w:w="4560"/>
            <w:tcBorders>
              <w:top w:val="single" w:color="E8E2D9" w:sz="1"/>
              <w:left w:val="single" w:color="E8E2D9" w:sz="1"/>
              <w:bottom w:val="single" w:color="E8E2D9" w:sz="1"/>
              <w:right w:val="single" w:color="E8E2D9" w:sz="1"/>
            </w:tcBorders>
            <w:shd w:fill="F0E8E2" w:val="clear"/>
            <w:tcMar>
              <w:top w:type="dxa" w:w="100"/>
              <w:left w:type="dxa" w:w="120"/>
              <w:bottom w:type="dxa" w:w="100"/>
              <w:right w:type="dxa" w:w="120"/>
            </w:tcMar>
          </w:tcPr>
          <w:p>
            <w:r>
              <w:rPr>
                <w:rFonts w:ascii="Calibri" w:cs="Calibri" w:eastAsia="Calibri" w:hAnsi="Calibri"/>
                <w:b/>
                <w:bCs/>
                <w:color w:val="5A5570"/>
                <w:sz w:val="20"/>
                <w:szCs w:val="20"/>
              </w:rPr>
              <w:t xml:space="preserve">5–15 utilisateurs · Tous les modules · Scénarios illimités · Support prioritaire</w:t>
            </w:r>
          </w:p>
        </w:tc>
      </w:tr>
      <w:tr>
        <w:tc>
          <w:tcPr>
            <w:tcW w:type="dxa" w:w="200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bCs/>
                <w:color w:val="C4622D"/>
                <w:sz w:val="20"/>
                <w:szCs w:val="20"/>
              </w:rPr>
              <w:t xml:space="preserve">ENTERPRISE</w:t>
            </w:r>
          </w:p>
        </w:tc>
        <w:tc>
          <w:tcPr>
            <w:tcW w:type="dxa" w:w="280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bCs/>
                <w:color w:val="1A1A2E"/>
                <w:sz w:val="20"/>
                <w:szCs w:val="20"/>
              </w:rPr>
              <w:t xml:space="preserve">150 000+ FCFA/mois</w:t>
            </w:r>
          </w:p>
        </w:tc>
        <w:tc>
          <w:tcPr>
            <w:tcW w:type="dxa" w:w="4560"/>
            <w:tcBorders>
              <w:top w:val="single" w:color="E8E2D9" w:sz="1"/>
              <w:left w:val="single" w:color="E8E2D9" w:sz="1"/>
              <w:bottom w:val="single" w:color="E8E2D9" w:sz="1"/>
              <w:right w:val="single" w:color="E8E2D9" w:sz="1"/>
            </w:tcBorders>
            <w:shd w:fill="FFFFFF" w:val="clear"/>
            <w:tcMar>
              <w:top w:type="dxa" w:w="100"/>
              <w:left w:type="dxa" w:w="120"/>
              <w:bottom w:type="dxa" w:w="100"/>
              <w:right w:type="dxa" w:w="120"/>
            </w:tcMar>
          </w:tcPr>
          <w:p>
            <w:r>
              <w:rPr>
                <w:rFonts w:ascii="Calibri" w:cs="Calibri" w:eastAsia="Calibri" w:hAnsi="Calibri"/>
                <w:b w:val="false"/>
                <w:bCs w:val="false"/>
                <w:color w:val="5A5570"/>
                <w:sz w:val="20"/>
                <w:szCs w:val="20"/>
              </w:rPr>
              <w:t xml:space="preserve">Utilisateurs illimités · Multi-entités · API · Support dédié 24/7</w:t>
            </w:r>
          </w:p>
        </w:tc>
      </w:tr>
    </w:tbl>
    <w:p>
      <w:pPr>
        <w:spacing w:before="200" w:after="0"/>
      </w:pPr>
    </w:p>
    <w:p>
      <w:pPr>
        <w:spacing w:before="80" w:after="120"/>
      </w:pPr>
      <w:r>
        <w:rPr>
          <w:rFonts w:ascii="Calibri" w:cs="Calibri" w:eastAsia="Calibri" w:hAnsi="Calibri"/>
          <w:b w:val="false"/>
          <w:bCs w:val="false"/>
          <w:color w:val="5A5570"/>
          <w:sz w:val="22"/>
          <w:szCs w:val="22"/>
        </w:rPr>
        <w:t xml:space="preserve">Toutes les offres incluent : hébergement Afrique, mises à jour automatiques, formation initiale (2h), support en français, export PDF et Excel.</w:t>
      </w:r>
    </w:p>
    <w:p>
      <w:pPr>
        <w:pBdr>
          <w:bottom w:val="single" w:color="B8963E" w:sz="4" w:space="1"/>
        </w:pBdr>
        <w:spacing w:before="160" w:after="160"/>
      </w:pPr>
    </w:p>
    <w:p>
      <w:pPr>
        <w:spacing w:before="320" w:after="80"/>
      </w:pPr>
      <w:r>
        <w:rPr>
          <w:rFonts w:ascii="Calibri" w:cs="Calibri" w:eastAsia="Calibri" w:hAnsi="Calibri"/>
          <w:b/>
          <w:bCs/>
          <w:color w:val="2D6A4F"/>
          <w:spacing w:val="80"/>
          <w:sz w:val="18"/>
          <w:szCs w:val="18"/>
        </w:rPr>
        <w:t xml:space="preserve">7. MARCHÉ CIBLE</w:t>
      </w:r>
    </w:p>
    <w:p>
      <w:pPr>
        <w:pStyle w:val="Heading1"/>
        <w:spacing w:before="400" w:after="160"/>
      </w:pPr>
      <w:r>
        <w:rPr>
          <w:rFonts w:ascii="Georgia" w:cs="Georgia" w:eastAsia="Georgia" w:hAnsi="Georgia"/>
          <w:b/>
          <w:bCs/>
          <w:color w:val="1A1A2E"/>
          <w:sz w:val="40"/>
          <w:szCs w:val="40"/>
        </w:rPr>
        <w:t xml:space="preserve">Afrique de l'Ouest — Un marché à fort potentiel</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PME cibles</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3,2 millions de PME au Sénégal, Côte d'Ivoire, Mali et Burkina Faso</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Taux d'équipement</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Moins de 5% utilisent un outil de gestion financière structuré</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Marché SaaS B2B</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8,2 milliards $ estimés d'ici 2027 pour l'Afrique subsaharienne</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Mobile internet</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67% des dirigeants de PME accèdent à internet via smartphone</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Pays Phase 1</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 Sénégal (marché pilote · Dakar)</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Pays Phase 2</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 Côte d'Ivoire (Abidjan) · 🇲🇱 Mali (Bamako)</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Pays Phase 3</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 Burkina Faso · Expansion pan-africaine</w:t>
            </w:r>
          </w:p>
        </w:tc>
      </w:tr>
    </w:tbl>
    <w:p>
      <w:pPr>
        <w:pBdr>
          <w:bottom w:val="single" w:color="2D6A4F" w:sz="4" w:space="1"/>
        </w:pBdr>
        <w:spacing w:before="160" w:after="160"/>
      </w:pPr>
    </w:p>
    <w:p>
      <w:pPr>
        <w:spacing w:before="320" w:after="80"/>
      </w:pPr>
      <w:r>
        <w:rPr>
          <w:rFonts w:ascii="Calibri" w:cs="Calibri" w:eastAsia="Calibri" w:hAnsi="Calibri"/>
          <w:b/>
          <w:bCs/>
          <w:color w:val="C4622D"/>
          <w:spacing w:val="80"/>
          <w:sz w:val="18"/>
          <w:szCs w:val="18"/>
        </w:rPr>
        <w:t xml:space="preserve">8. ROADMAP</w:t>
      </w:r>
    </w:p>
    <w:p>
      <w:pPr>
        <w:pStyle w:val="Heading1"/>
        <w:spacing w:before="400" w:after="160"/>
      </w:pPr>
      <w:r>
        <w:rPr>
          <w:rFonts w:ascii="Georgia" w:cs="Georgia" w:eastAsia="Georgia" w:hAnsi="Georgia"/>
          <w:b/>
          <w:bCs/>
          <w:color w:val="1A1A2E"/>
          <w:sz w:val="40"/>
          <w:szCs w:val="40"/>
        </w:rPr>
        <w:t xml:space="preserve">De la V1 à l'expansion pan-africaine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Phase 1 — T1-T2 2026 (EN COURS)</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Application V1 opérationnelle · Tests avec 10 PME pilotes Dakar · Budget + Transactions + KPIs + Scénarios + Cash Flow · Certification SYSCOHADA</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Phase 2 — T3-T4 2026</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Module Rapports PDF/Excel · App mobile React Native · Expansion Côte d'Ivoire et Mali · Objectif 100 clients actifs</w:t>
            </w:r>
          </w:p>
        </w:tc>
      </w:tr>
      <w:tr>
        <w:tc>
          <w:tcPr>
            <w:tcW w:type="dxa" w:w="3000"/>
            <w:tcBorders>
              <w:top w:val="single" w:color="E8E2D9" w:sz="1"/>
              <w:left w:val="single" w:color="E8E2D9" w:sz="1"/>
              <w:bottom w:val="single" w:color="E8E2D9" w:sz="1"/>
              <w:right w:val="single" w:color="E8E2D9" w:sz="1"/>
            </w:tcBorders>
            <w:shd w:fill="F4F1EC" w:val="clear"/>
            <w:tcMar>
              <w:top w:type="dxa" w:w="80"/>
              <w:left w:type="dxa" w:w="120"/>
              <w:bottom w:type="dxa" w:w="80"/>
              <w:right w:type="dxa" w:w="120"/>
            </w:tcMar>
          </w:tcPr>
          <w:p>
            <w:r>
              <w:rPr>
                <w:rFonts w:ascii="Calibri" w:cs="Calibri" w:eastAsia="Calibri" w:hAnsi="Calibri"/>
                <w:b/>
                <w:bCs/>
                <w:color w:val="1A1A2E"/>
                <w:sz w:val="20"/>
                <w:szCs w:val="20"/>
              </w:rPr>
              <w:t xml:space="preserve">Phase 3 — 2027</w:t>
            </w:r>
          </w:p>
        </w:tc>
        <w:tc>
          <w:tcPr>
            <w:tcW w:type="dxa" w:w="636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color w:val="5A5570"/>
                <w:sz w:val="20"/>
                <w:szCs w:val="20"/>
              </w:rPr>
              <w:t xml:space="preserve">Intégration Mobile Money (Wave / Orange / MTN) · API open banking Afrique · Module comptabilité OHADA · 500 clients · 5 pays</w:t>
            </w:r>
          </w:p>
        </w:tc>
      </w:tr>
      <w:tr>
        <w:tc>
          <w:tcPr>
            <w:tcW w:type="dxa" w:w="3000"/>
            <w:tcBorders>
              <w:top w:val="single" w:color="E8E2D9" w:sz="1"/>
              <w:left w:val="single" w:color="E8E2D9" w:sz="1"/>
              <w:bottom w:val="single" w:color="E8E2D9" w:sz="1"/>
              <w:right w:val="single" w:color="E8E2D9" w:sz="1"/>
            </w:tcBorders>
            <w:shd w:fill="FAF8F4" w:val="clear"/>
            <w:tcMar>
              <w:top w:type="dxa" w:w="80"/>
              <w:left w:type="dxa" w:w="120"/>
              <w:bottom w:type="dxa" w:w="80"/>
              <w:right w:type="dxa" w:w="120"/>
            </w:tcMar>
          </w:tcPr>
          <w:p>
            <w:r>
              <w:rPr>
                <w:rFonts w:ascii="Calibri" w:cs="Calibri" w:eastAsia="Calibri" w:hAnsi="Calibri"/>
                <w:b/>
                <w:bCs/>
                <w:color w:val="1A1A2E"/>
                <w:sz w:val="20"/>
                <w:szCs w:val="20"/>
              </w:rPr>
              <w:t xml:space="preserve">Phase 4 — 2028+</w:t>
            </w:r>
          </w:p>
        </w:tc>
        <w:tc>
          <w:tcPr>
            <w:tcW w:type="dxa" w:w="6360"/>
            <w:tcBorders>
              <w:top w:val="single" w:color="E8E2D9" w:sz="1"/>
              <w:left w:val="single" w:color="E8E2D9" w:sz="1"/>
              <w:bottom w:val="single" w:color="E8E2D9" w:sz="1"/>
              <w:right w:val="single" w:color="E8E2D9" w:sz="1"/>
            </w:tcBorders>
            <w:shd w:fill="FFFFFF" w:val="clear"/>
            <w:tcMar>
              <w:top w:type="dxa" w:w="80"/>
              <w:left w:type="dxa" w:w="120"/>
              <w:bottom w:type="dxa" w:w="80"/>
              <w:right w:type="dxa" w:w="120"/>
            </w:tcMar>
          </w:tcPr>
          <w:p>
            <w:r>
              <w:rPr>
                <w:rFonts w:ascii="Calibri" w:cs="Calibri" w:eastAsia="Calibri" w:hAnsi="Calibri"/>
                <w:color w:val="5A5570"/>
                <w:sz w:val="20"/>
                <w:szCs w:val="20"/>
              </w:rPr>
              <w:t xml:space="preserve">Intelligence artificielle · Prédiction cash flow ML · Expansion Afrique centrale · Levée de fonds Serie A ou partenariat stratégique</w:t>
            </w:r>
          </w:p>
        </w:tc>
      </w:tr>
    </w:tbl>
    <w:p>
      <w:r>
        <w:br w:type="page"/>
      </w:r>
    </w:p>
    <w:p>
      <w:pPr>
        <w:spacing w:before="320" w:after="80"/>
      </w:pPr>
      <w:r>
        <w:rPr>
          <w:rFonts w:ascii="Calibri" w:cs="Calibri" w:eastAsia="Calibri" w:hAnsi="Calibri"/>
          <w:b/>
          <w:bCs/>
          <w:color w:val="C4622D"/>
          <w:spacing w:val="80"/>
          <w:sz w:val="18"/>
          <w:szCs w:val="18"/>
        </w:rPr>
        <w:t xml:space="preserve">CONCLUSION</w:t>
      </w:r>
    </w:p>
    <w:p>
      <w:pPr>
        <w:pStyle w:val="Heading1"/>
        <w:spacing w:before="400" w:after="160"/>
      </w:pPr>
      <w:r>
        <w:rPr>
          <w:rFonts w:ascii="Georgia" w:cs="Georgia" w:eastAsia="Georgia" w:hAnsi="Georgia"/>
          <w:b/>
          <w:bCs/>
          <w:color w:val="1A1A2E"/>
          <w:sz w:val="40"/>
          <w:szCs w:val="40"/>
        </w:rPr>
        <w:t xml:space="preserve">Jupiter_Plan est prêt. Rejoignez l'aventure.</w:t>
      </w:r>
    </w:p>
    <w:p>
      <w:pPr>
        <w:spacing w:before="80" w:after="120"/>
      </w:pPr>
      <w:r>
        <w:rPr>
          <w:rFonts w:ascii="Calibri" w:cs="Calibri" w:eastAsia="Calibri" w:hAnsi="Calibri"/>
          <w:b w:val="false"/>
          <w:bCs w:val="false"/>
          <w:color w:val="5A5570"/>
          <w:sz w:val="22"/>
          <w:szCs w:val="22"/>
        </w:rPr>
        <w:t xml:space="preserve">Jupiter_Plan n'est pas un projet — c'est une application fonctionnelle, testée, sécurisée, et prête pour les premières PME clientes. Nous avons construit ce que le marché attendait depuis des années.</w:t>
      </w:r>
    </w:p>
    <w:p>
      <w:pPr>
        <w:spacing w:before="200" w:after="80"/>
      </w:pPr>
    </w:p>
    <w:p>
      <w:pPr>
        <w:spacing w:before="80" w:after="120"/>
      </w:pPr>
      <w:r>
        <w:rPr>
          <w:rFonts w:ascii="Calibri" w:cs="Calibri" w:eastAsia="Calibri" w:hAnsi="Calibri"/>
          <w:b/>
          <w:bCs/>
          <w:color w:val="1A1A2E"/>
          <w:sz w:val="22"/>
          <w:szCs w:val="22"/>
        </w:rPr>
        <w:t xml:space="preserve">Ce que nous recherchons :</w:t>
      </w:r>
    </w:p>
    <w:p>
      <w:pPr>
        <w:pStyle w:val="ListParagraph"/>
        <w:numPr>
          <w:ilvl w:val="0"/>
          <w:numId w:val="2"/>
        </w:numPr>
        <w:spacing w:before="40" w:after="40"/>
      </w:pPr>
      <w:r>
        <w:rPr>
          <w:rFonts w:ascii="Calibri" w:cs="Calibri" w:eastAsia="Calibri" w:hAnsi="Calibri"/>
          <w:color w:val="5A5570"/>
          <w:sz w:val="22"/>
          <w:szCs w:val="22"/>
        </w:rPr>
        <w:t xml:space="preserve">Associés stratégiques pour l'expansion commerciale au Sénégal et en Côte d'Ivoire</w:t>
      </w:r>
    </w:p>
    <w:p>
      <w:pPr>
        <w:pStyle w:val="ListParagraph"/>
        <w:numPr>
          <w:ilvl w:val="0"/>
          <w:numId w:val="2"/>
        </w:numPr>
        <w:spacing w:before="40" w:after="40"/>
      </w:pPr>
      <w:r>
        <w:rPr>
          <w:rFonts w:ascii="Calibri" w:cs="Calibri" w:eastAsia="Calibri" w:hAnsi="Calibri"/>
          <w:color w:val="5A5570"/>
          <w:sz w:val="22"/>
          <w:szCs w:val="22"/>
        </w:rPr>
        <w:t xml:space="preserve">Partenaires bancaires et institutions financières pour des offres packagées</w:t>
      </w:r>
    </w:p>
    <w:p>
      <w:pPr>
        <w:pStyle w:val="ListParagraph"/>
        <w:numPr>
          <w:ilvl w:val="0"/>
          <w:numId w:val="2"/>
        </w:numPr>
        <w:spacing w:before="40" w:after="40"/>
      </w:pPr>
      <w:r>
        <w:rPr>
          <w:rFonts w:ascii="Calibri" w:cs="Calibri" w:eastAsia="Calibri" w:hAnsi="Calibri"/>
          <w:color w:val="5A5570"/>
          <w:sz w:val="22"/>
          <w:szCs w:val="22"/>
        </w:rPr>
        <w:t xml:space="preserve">Investisseurs seed pour accélérer le développement produit et l'acquisition clients</w:t>
      </w:r>
    </w:p>
    <w:p>
      <w:pPr>
        <w:pStyle w:val="ListParagraph"/>
        <w:numPr>
          <w:ilvl w:val="0"/>
          <w:numId w:val="2"/>
        </w:numPr>
        <w:spacing w:before="40" w:after="40"/>
      </w:pPr>
      <w:r>
        <w:rPr>
          <w:rFonts w:ascii="Calibri" w:cs="Calibri" w:eastAsia="Calibri" w:hAnsi="Calibri"/>
          <w:color w:val="5A5570"/>
          <w:sz w:val="22"/>
          <w:szCs w:val="22"/>
        </w:rPr>
        <w:t xml:space="preserve">PME pilotes prêtes à tester la solution et co-construire le produit</w:t>
      </w:r>
    </w:p>
    <w:p>
      <w:pPr>
        <w:pBdr>
          <w:bottom w:val="single" w:color="C4622D" w:sz="4" w:space="1"/>
        </w:pBdr>
        <w:spacing w:before="160" w:after="160"/>
      </w:pPr>
    </w:p>
    <w:p>
      <w:pPr>
        <w:spacing w:before="320" w:after="160"/>
        <w:jc w:val="center"/>
      </w:pPr>
      <w:r>
        <w:rPr>
          <w:rFonts w:ascii="Georgia" w:cs="Georgia" w:eastAsia="Georgia" w:hAnsi="Georgia"/>
          <w:color w:val="C4622D"/>
          <w:sz w:val="26"/>
          <w:szCs w:val="26"/>
        </w:rPr>
        <w:t xml:space="preserve">"Le premier copilote financier conçu pour et par les PME africaines."</w:t>
      </w:r>
    </w:p>
    <w:p>
      <w:pPr>
        <w:spacing w:before="80" w:after="80"/>
        <w:jc w:val="center"/>
      </w:pPr>
      <w:r>
        <w:rPr>
          <w:rFonts w:ascii="Calibri" w:cs="Calibri" w:eastAsia="Calibri" w:hAnsi="Calibri"/>
          <w:color w:val="5A5570"/>
          <w:sz w:val="20"/>
          <w:szCs w:val="20"/>
        </w:rPr>
        <w:t xml:space="preserve">contact@jupiter-plan.com  ·  www.jupiter-plan.com  ·  Dakar, Sénégal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9" w:sz="2" w:space="1"/>
      </w:pBdr>
      <w:tabs>
        <w:tab w:val="right" w:pos="9026"/>
      </w:tabs>
      <w:spacing w:before="160"/>
    </w:pPr>
    <w:r>
      <w:rPr>
        <w:rFonts w:ascii="Calibri" w:cs="Calibri" w:eastAsia="Calibri" w:hAnsi="Calibri"/>
        <w:color w:val="5A5570"/>
        <w:sz w:val="16"/>
        <w:szCs w:val="16"/>
      </w:rPr>
      <w:t xml:space="preserve">© Jupiter_Plan 2026 — Confidentiel</w:t>
    </w:r>
    <w:r>
      <w:rPr>
        <w:sz w:val="16"/>
        <w:szCs w:val="16"/>
      </w:rPr>
      <w:t xml:space="preserve">	</w:t>
    </w:r>
    <w:r>
      <w:rPr>
        <w:rFonts w:ascii="Calibri" w:cs="Calibri" w:eastAsia="Calibri" w:hAnsi="Calibri"/>
        <w:color w:val="5A5570"/>
        <w:sz w:val="16"/>
        <w:szCs w:val="16"/>
      </w:rPr>
      <w:t xml:space="preserve">Page </w:t>
    </w:r>
    <w:r>
      <w:rPr>
        <w:rFonts w:ascii="Calibri" w:cs="Calibri" w:eastAsia="Calibri" w:hAnsi="Calibri"/>
        <w:color w:val="5A5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4" w:space="1"/>
      </w:pBdr>
      <w:spacing w:after="160"/>
    </w:pPr>
    <w:r>
      <w:rPr>
        <w:rFonts w:ascii="Georgia" w:cs="Georgia" w:eastAsia="Georgia" w:hAnsi="Georgia"/>
        <w:b/>
        <w:bCs/>
        <w:color w:val="C4622D"/>
        <w:sz w:val="20"/>
        <w:szCs w:val="20"/>
      </w:rPr>
      <w:t xml:space="preserve">Jupiter_Plan</w:t>
    </w:r>
    <w:r>
      <w:rPr>
        <w:rFonts w:ascii="Calibri" w:cs="Calibri" w:eastAsia="Calibri" w:hAnsi="Calibri"/>
        <w:color w:val="5A5570"/>
        <w:sz w:val="18"/>
        <w:szCs w:val="18"/>
      </w:rPr>
      <w:t xml:space="preserve">  ·  Note de présentation confidentielle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A557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A1A2E"/>
      <w:sz w:val="40"/>
      <w:szCs w:val="40"/>
    </w:rPr>
  </w:style>
  <w:style w:type="paragraph" w:styleId="Heading2">
    <w:name w:val="Heading 2"/>
    <w:basedOn w:val="Normal"/>
    <w:next w:val="Normal"/>
    <w:qFormat/>
    <w:pPr>
      <w:spacing w:before="320" w:after="120"/>
      <w:outlineLvl w:val="1"/>
    </w:pPr>
    <w:rPr>
      <w:rFonts w:ascii="Georgia" w:cs="Georgia" w:eastAsia="Georgia" w:hAnsi="Georgia"/>
      <w:b/>
      <w:bCs/>
      <w:color w:val="C4622D"/>
      <w:sz w:val="32"/>
      <w:szCs w:val="32"/>
    </w:rPr>
  </w:style>
  <w:style w:type="paragraph" w:styleId="Heading3">
    <w:name w:val="Heading 3"/>
    <w:basedOn w:val="Normal"/>
    <w:next w:val="Normal"/>
    <w:qFormat/>
    <w:pPr>
      <w:spacing w:before="240" w:after="80"/>
      <w:outlineLvl w:val="2"/>
    </w:pPr>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2026-03-16T03:07:28.485Z</dcterms:created>
  <dcterms:modified xsi:type="dcterms:W3CDTF">2026-03-16T03:07:28.486Z</dcterms:modified>
</cp:coreProperties>
</file>

<file path=docProps/custom.xml><?xml version="1.0" encoding="utf-8"?>
<Properties xmlns="http://schemas.openxmlformats.org/officeDocument/2006/custom-properties" xmlns:vt="http://schemas.openxmlformats.org/officeDocument/2006/docPropsVTypes"/>
</file>