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3EB" w:rsidRDefault="000C43EB">
      <w:pPr>
        <w:rPr>
          <w:szCs w:val="21"/>
        </w:rPr>
      </w:pPr>
      <w:r w:rsidRPr="000C43EB">
        <w:rPr>
          <w:rFonts w:hint="eastAsia"/>
          <w:szCs w:val="21"/>
        </w:rPr>
        <w:t>基于短周期价量特征的多因子选股系</w:t>
      </w:r>
    </w:p>
    <w:p w:rsidR="00A556D4" w:rsidRPr="00A556D4" w:rsidRDefault="00A556D4" w:rsidP="00A556D4">
      <w:pPr>
        <w:pStyle w:val="a7"/>
        <w:shd w:val="clear" w:color="auto" w:fill="FFFFFF"/>
        <w:spacing w:before="151" w:beforeAutospacing="0" w:after="432" w:afterAutospacing="0"/>
        <w:rPr>
          <w:rFonts w:asciiTheme="minorHAnsi" w:eastAsiaTheme="minorEastAsia" w:hAnsiTheme="minorHAnsi" w:cstheme="minorBidi"/>
          <w:kern w:val="2"/>
          <w:sz w:val="21"/>
          <w:szCs w:val="21"/>
        </w:rPr>
      </w:pPr>
      <w:r w:rsidRPr="00A556D4">
        <w:rPr>
          <w:rFonts w:asciiTheme="minorHAnsi" w:eastAsiaTheme="minorEastAsia" w:hAnsiTheme="minorHAnsi" w:cstheme="minorBidi"/>
          <w:kern w:val="2"/>
          <w:sz w:val="21"/>
          <w:szCs w:val="21"/>
        </w:rPr>
        <w:t>IC为因子值与个股收益率的相关系数，而ICIR则为IC序列的年化信息比率：</w:t>
      </w:r>
    </w:p>
    <w:p w:rsidR="00A556D4" w:rsidRPr="00A556D4" w:rsidRDefault="00A556D4" w:rsidP="00A556D4">
      <w:pPr>
        <w:pStyle w:val="a7"/>
        <w:shd w:val="clear" w:color="auto" w:fill="FFFFFF"/>
        <w:spacing w:before="0" w:beforeAutospacing="0" w:after="0" w:afterAutospacing="0"/>
        <w:jc w:val="center"/>
        <w:rPr>
          <w:rFonts w:asciiTheme="minorHAnsi" w:eastAsiaTheme="minorEastAsia" w:hAnsiTheme="minorHAnsi" w:cstheme="minorBidi"/>
          <w:kern w:val="2"/>
          <w:sz w:val="21"/>
          <w:szCs w:val="21"/>
        </w:rPr>
      </w:pPr>
      <w:r w:rsidRPr="00A556D4">
        <w:rPr>
          <w:rFonts w:asciiTheme="minorHAnsi" w:eastAsiaTheme="minorEastAsia" w:hAnsiTheme="minorHAnsi" w:cstheme="minorBidi"/>
          <w:b/>
          <w:bCs/>
          <w:kern w:val="2"/>
          <w:sz w:val="21"/>
          <w:szCs w:val="21"/>
        </w:rPr>
        <w:t>IC=corr（F，R）</w:t>
      </w:r>
    </w:p>
    <w:p w:rsidR="00A556D4" w:rsidRDefault="00A556D4" w:rsidP="00A556D4">
      <w:pPr>
        <w:pStyle w:val="a7"/>
        <w:shd w:val="clear" w:color="auto" w:fill="FFFFFF"/>
        <w:spacing w:before="0" w:beforeAutospacing="0" w:after="0" w:afterAutospacing="0"/>
        <w:jc w:val="center"/>
        <w:rPr>
          <w:rFonts w:asciiTheme="minorHAnsi" w:eastAsiaTheme="minorEastAsia" w:hAnsiTheme="minorHAnsi" w:cstheme="minorBidi"/>
          <w:b/>
          <w:bCs/>
          <w:kern w:val="2"/>
          <w:sz w:val="21"/>
          <w:szCs w:val="21"/>
        </w:rPr>
      </w:pPr>
      <w:r w:rsidRPr="00A556D4">
        <w:rPr>
          <w:rFonts w:asciiTheme="minorHAnsi" w:eastAsiaTheme="minorEastAsia" w:hAnsiTheme="minorHAnsi" w:cstheme="minorBidi"/>
          <w:b/>
          <w:bCs/>
          <w:kern w:val="2"/>
          <w:sz w:val="21"/>
          <w:szCs w:val="21"/>
        </w:rPr>
        <w:t>ICIR=mean（IC）/ std（IC）</w:t>
      </w:r>
    </w:p>
    <w:p w:rsidR="00687D95" w:rsidRDefault="00687D95" w:rsidP="00A556D4">
      <w:pPr>
        <w:pStyle w:val="a7"/>
        <w:shd w:val="clear" w:color="auto" w:fill="FFFFFF"/>
        <w:spacing w:before="0" w:beforeAutospacing="0" w:after="0" w:afterAutospacing="0"/>
        <w:jc w:val="center"/>
        <w:rPr>
          <w:rFonts w:asciiTheme="minorHAnsi" w:eastAsiaTheme="minorEastAsia" w:hAnsiTheme="minorHAnsi" w:cstheme="minorBidi" w:hint="eastAsia"/>
          <w:b/>
          <w:bCs/>
          <w:kern w:val="2"/>
          <w:sz w:val="21"/>
          <w:szCs w:val="21"/>
        </w:rPr>
      </w:pPr>
      <w:r>
        <w:rPr>
          <w:rFonts w:asciiTheme="minorHAnsi" w:eastAsiaTheme="minorEastAsia" w:hAnsiTheme="minorHAnsi" w:cstheme="minorBidi" w:hint="eastAsia"/>
          <w:b/>
          <w:bCs/>
          <w:kern w:val="2"/>
          <w:sz w:val="21"/>
          <w:szCs w:val="21"/>
        </w:rPr>
        <w:t>ICIR的计算就是IC值的T统计量计算。</w:t>
      </w:r>
    </w:p>
    <w:p w:rsidR="00110A4F" w:rsidRPr="00A556D4" w:rsidRDefault="00110A4F" w:rsidP="00A556D4">
      <w:pPr>
        <w:pStyle w:val="a7"/>
        <w:shd w:val="clear" w:color="auto" w:fill="FFFFFF"/>
        <w:spacing w:before="0" w:beforeAutospacing="0" w:after="0" w:afterAutospacing="0"/>
        <w:jc w:val="center"/>
        <w:rPr>
          <w:rFonts w:asciiTheme="minorHAnsi" w:eastAsiaTheme="minorEastAsia" w:hAnsiTheme="minorHAnsi" w:cstheme="minorBidi" w:hint="eastAsia"/>
          <w:kern w:val="2"/>
          <w:sz w:val="21"/>
          <w:szCs w:val="21"/>
        </w:rPr>
      </w:pPr>
      <w:r w:rsidRPr="00110A4F">
        <w:rPr>
          <w:rFonts w:asciiTheme="minorHAnsi" w:eastAsiaTheme="minorEastAsia" w:hAnsiTheme="minorHAnsi" w:cstheme="minorBidi" w:hint="eastAsia"/>
          <w:kern w:val="2"/>
          <w:sz w:val="21"/>
          <w:szCs w:val="21"/>
        </w:rPr>
        <w:t>ICIR</w:t>
      </w:r>
      <w:r w:rsidRPr="00110A4F">
        <w:rPr>
          <w:rFonts w:asciiTheme="minorHAnsi" w:eastAsiaTheme="minorEastAsia" w:hAnsiTheme="minorHAnsi" w:cstheme="minorBidi"/>
          <w:kern w:val="2"/>
          <w:sz w:val="21"/>
          <w:szCs w:val="21"/>
        </w:rPr>
        <w:t>该指标既考虑了风格的强弱，同时也兼顾了风格的稳定性，因此能够更好地反映因子在一段时间内的有效性程度。</w:t>
      </w:r>
    </w:p>
    <w:p w:rsidR="000C43EB" w:rsidRPr="00977C64" w:rsidRDefault="000C43EB">
      <w:pPr>
        <w:rPr>
          <w:szCs w:val="21"/>
        </w:rPr>
      </w:pPr>
      <w:r w:rsidRPr="00977C64">
        <w:rPr>
          <w:rFonts w:hint="eastAsia"/>
          <w:szCs w:val="21"/>
        </w:rPr>
        <w:t>第一 收益率分解</w:t>
      </w:r>
    </w:p>
    <w:p w:rsidR="000C43EB" w:rsidRDefault="000C43EB" w:rsidP="000C43EB">
      <w:pPr>
        <w:ind w:firstLine="420"/>
        <w:rPr>
          <w:szCs w:val="21"/>
        </w:rPr>
      </w:pPr>
      <w:r>
        <w:rPr>
          <w:szCs w:val="21"/>
        </w:rPr>
        <w:t xml:space="preserve">股票收益率= 风格收益+ </w:t>
      </w:r>
      <w:r>
        <w:rPr>
          <w:szCs w:val="21"/>
        </w:rPr>
        <w:t>阿尔法收益</w:t>
      </w:r>
    </w:p>
    <w:p w:rsidR="000C43EB" w:rsidRDefault="000C43EB" w:rsidP="000C43EB">
      <w:pPr>
        <w:rPr>
          <w:szCs w:val="21"/>
        </w:rPr>
      </w:pPr>
      <w:r>
        <w:rPr>
          <w:szCs w:val="21"/>
        </w:rPr>
        <w:t>其中，A股市场最为典型的风格收益包括行业风格、市值风格等</w:t>
      </w:r>
      <w:r>
        <w:rPr>
          <w:rFonts w:hint="eastAsia"/>
          <w:szCs w:val="21"/>
        </w:rPr>
        <w:t xml:space="preserve">，具体为 </w:t>
      </w:r>
      <w:r>
        <w:rPr>
          <w:szCs w:val="21"/>
        </w:rPr>
        <w:t>行业、贝塔、动量、市值、盈利、波动、成长、价值、杠杆、流动性</w:t>
      </w:r>
    </w:p>
    <w:p w:rsidR="0056203E" w:rsidRDefault="0056203E" w:rsidP="000C43EB">
      <w:pPr>
        <w:rPr>
          <w:szCs w:val="21"/>
        </w:rPr>
      </w:pPr>
      <w:r>
        <w:rPr>
          <w:szCs w:val="21"/>
        </w:rPr>
        <w:t>从建模的角度而言，假设是所有个股在某一期内的收益向量，</w:t>
      </w:r>
      <w:r>
        <w:rPr>
          <w:rFonts w:hint="eastAsia"/>
          <w:szCs w:val="21"/>
        </w:rPr>
        <w:t>Xindustry</w:t>
      </w:r>
      <w:r>
        <w:rPr>
          <w:szCs w:val="21"/>
        </w:rPr>
        <w:t>是定义的行业哑变量矩阵，</w:t>
      </w:r>
      <w:r>
        <w:rPr>
          <w:rFonts w:hint="eastAsia"/>
          <w:szCs w:val="21"/>
        </w:rPr>
        <w:t>Xstyle</w:t>
      </w:r>
      <w:r>
        <w:rPr>
          <w:szCs w:val="21"/>
        </w:rPr>
        <w:t>为定义的风格因子载荷矩阵（其中包括Beta、Momentum、Size、Earnings_Yield、Volatilty、Growth、Value、Leverage、Liquidity），我们通过回归方程的计算，可以得到：</w:t>
      </w:r>
    </w:p>
    <w:p w:rsidR="0056203E" w:rsidRPr="00977C64" w:rsidRDefault="0056203E" w:rsidP="000C43EB">
      <w:pPr>
        <w:rPr>
          <w:szCs w:val="21"/>
        </w:rPr>
      </w:pPr>
      <w:r w:rsidRPr="00977C64">
        <w:rPr>
          <w:szCs w:val="21"/>
        </w:rPr>
        <w:drawing>
          <wp:inline distT="0" distB="0" distL="0" distR="0" wp14:anchorId="7427D716" wp14:editId="5E177FD8">
            <wp:extent cx="2894275" cy="38018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221" cy="397249"/>
                    </a:xfrm>
                    <a:prstGeom prst="rect">
                      <a:avLst/>
                    </a:prstGeom>
                  </pic:spPr>
                </pic:pic>
              </a:graphicData>
            </a:graphic>
          </wp:inline>
        </w:drawing>
      </w:r>
    </w:p>
    <w:p w:rsidR="00A10EEA" w:rsidRPr="009B3B2C" w:rsidRDefault="0056203E" w:rsidP="0056203E">
      <w:pPr>
        <w:autoSpaceDE w:val="0"/>
        <w:autoSpaceDN w:val="0"/>
        <w:adjustRightInd w:val="0"/>
        <w:jc w:val="left"/>
        <w:rPr>
          <w:color w:val="FF0000"/>
          <w:szCs w:val="21"/>
        </w:rPr>
      </w:pPr>
      <w:r w:rsidRPr="009B3B2C">
        <w:rPr>
          <w:rFonts w:hint="eastAsia"/>
          <w:color w:val="FF0000"/>
          <w:szCs w:val="21"/>
        </w:rPr>
        <w:t>假设站在投资时点</w:t>
      </w:r>
      <w:r w:rsidRPr="009B3B2C">
        <w:rPr>
          <w:color w:val="FF0000"/>
          <w:szCs w:val="21"/>
        </w:rPr>
        <w:t xml:space="preserve">t </w:t>
      </w:r>
      <w:r w:rsidRPr="009B3B2C">
        <w:rPr>
          <w:rFonts w:hint="eastAsia"/>
          <w:color w:val="FF0000"/>
          <w:szCs w:val="21"/>
        </w:rPr>
        <w:t>时刻，我们可获得的变量仅为</w:t>
      </w:r>
      <w:r w:rsidRPr="009B3B2C">
        <w:rPr>
          <w:color w:val="FF0000"/>
          <w:szCs w:val="21"/>
        </w:rPr>
        <w:t>X</w:t>
      </w:r>
      <w:r w:rsidRPr="009B3B2C">
        <w:rPr>
          <w:color w:val="FF0000"/>
          <w:szCs w:val="21"/>
        </w:rPr>
        <w:t xml:space="preserve"> </w:t>
      </w:r>
      <w:r w:rsidRPr="009B3B2C">
        <w:rPr>
          <w:color w:val="FF0000"/>
          <w:szCs w:val="21"/>
        </w:rPr>
        <w:t>in d u s t r y</w:t>
      </w:r>
      <w:r w:rsidRPr="009B3B2C">
        <w:rPr>
          <w:rFonts w:hint="eastAsia"/>
          <w:color w:val="FF0000"/>
          <w:szCs w:val="21"/>
        </w:rPr>
        <w:t>和</w:t>
      </w:r>
      <w:r w:rsidRPr="009B3B2C">
        <w:rPr>
          <w:color w:val="FF0000"/>
          <w:szCs w:val="21"/>
        </w:rPr>
        <w:t>X</w:t>
      </w:r>
      <w:r w:rsidRPr="009B3B2C">
        <w:rPr>
          <w:color w:val="FF0000"/>
          <w:szCs w:val="21"/>
        </w:rPr>
        <w:t xml:space="preserve"> </w:t>
      </w:r>
      <w:r w:rsidRPr="009B3B2C">
        <w:rPr>
          <w:color w:val="FF0000"/>
          <w:szCs w:val="21"/>
        </w:rPr>
        <w:t>s t y l e</w:t>
      </w:r>
      <w:r w:rsidRPr="009B3B2C">
        <w:rPr>
          <w:rFonts w:hint="eastAsia"/>
          <w:color w:val="FF0000"/>
          <w:szCs w:val="21"/>
        </w:rPr>
        <w:t>，因此未来一期的阿尔法收益率截面</w:t>
      </w:r>
      <w:r w:rsidRPr="009B3B2C">
        <w:rPr>
          <w:color w:val="FF0000"/>
          <w:szCs w:val="21"/>
        </w:rPr>
        <w:t>t</w:t>
      </w:r>
      <w:r w:rsidRPr="009B3B2C">
        <w:rPr>
          <w:color w:val="FF0000"/>
          <w:szCs w:val="21"/>
        </w:rPr>
        <w:t>+</w:t>
      </w:r>
      <w:r w:rsidRPr="009B3B2C">
        <w:rPr>
          <w:color w:val="FF0000"/>
          <w:szCs w:val="21"/>
        </w:rPr>
        <w:t xml:space="preserve"> 1</w:t>
      </w:r>
      <w:r w:rsidR="00A10EEA" w:rsidRPr="009B3B2C">
        <w:rPr>
          <w:rFonts w:hint="eastAsia"/>
          <w:color w:val="FF0000"/>
          <w:szCs w:val="21"/>
        </w:rPr>
        <w:t>是需要预测的;就是</w:t>
      </w:r>
      <w:r w:rsidR="007E0911" w:rsidRPr="009B3B2C">
        <w:rPr>
          <w:rFonts w:hint="eastAsia"/>
          <w:color w:val="FF0000"/>
          <w:szCs w:val="21"/>
        </w:rPr>
        <w:t xml:space="preserve"> 通过</w:t>
      </w:r>
      <w:r w:rsidR="00EA3C4C" w:rsidRPr="009B3B2C">
        <w:rPr>
          <w:rFonts w:hint="eastAsia"/>
          <w:color w:val="FF0000"/>
          <w:szCs w:val="21"/>
        </w:rPr>
        <w:t>T日</w:t>
      </w:r>
      <w:r w:rsidR="007E0911" w:rsidRPr="009B3B2C">
        <w:rPr>
          <w:color w:val="FF0000"/>
          <w:szCs w:val="21"/>
        </w:rPr>
        <w:t>X in d u s t r y</w:t>
      </w:r>
      <w:r w:rsidR="007E0911" w:rsidRPr="009B3B2C">
        <w:rPr>
          <w:rFonts w:hint="eastAsia"/>
          <w:color w:val="FF0000"/>
          <w:szCs w:val="21"/>
        </w:rPr>
        <w:t>，</w:t>
      </w:r>
      <w:r w:rsidR="007E0911" w:rsidRPr="009B3B2C">
        <w:rPr>
          <w:color w:val="FF0000"/>
          <w:szCs w:val="21"/>
        </w:rPr>
        <w:t>X s t y l e</w:t>
      </w:r>
      <w:r w:rsidR="007E0911" w:rsidRPr="009B3B2C">
        <w:rPr>
          <w:rFonts w:hint="eastAsia"/>
          <w:color w:val="FF0000"/>
          <w:szCs w:val="21"/>
        </w:rPr>
        <w:t>和Rt+1</w:t>
      </w:r>
      <w:r w:rsidR="007E0911" w:rsidRPr="009B3B2C">
        <w:rPr>
          <w:color w:val="FF0000"/>
          <w:szCs w:val="21"/>
        </w:rPr>
        <w:t xml:space="preserve"> </w:t>
      </w:r>
      <w:r w:rsidR="007E0911" w:rsidRPr="009B3B2C">
        <w:rPr>
          <w:rFonts w:hint="eastAsia"/>
          <w:color w:val="FF0000"/>
          <w:szCs w:val="21"/>
        </w:rPr>
        <w:t>进行多元回归，得到的</w:t>
      </w:r>
      <w:r w:rsidR="007E0911" w:rsidRPr="009B3B2C">
        <w:rPr>
          <w:color w:val="FF0000"/>
          <w:szCs w:val="21"/>
        </w:rPr>
        <w:t></w:t>
      </w:r>
      <w:r w:rsidR="007E0911" w:rsidRPr="009B3B2C">
        <w:rPr>
          <w:rFonts w:hint="eastAsia"/>
          <w:color w:val="FF0000"/>
          <w:szCs w:val="21"/>
        </w:rPr>
        <w:t>T+1</w:t>
      </w:r>
      <w:r w:rsidR="007E0911" w:rsidRPr="009B3B2C">
        <w:rPr>
          <w:color w:val="FF0000"/>
          <w:szCs w:val="21"/>
        </w:rPr>
        <w:t xml:space="preserve"> </w:t>
      </w:r>
      <w:r w:rsidR="007E0911" w:rsidRPr="009B3B2C">
        <w:rPr>
          <w:rFonts w:hint="eastAsia"/>
          <w:color w:val="FF0000"/>
          <w:szCs w:val="21"/>
        </w:rPr>
        <w:t>是下一日的预测收益率；</w:t>
      </w:r>
    </w:p>
    <w:p w:rsidR="007E0911" w:rsidRPr="009B3B2C" w:rsidRDefault="007E0911" w:rsidP="0056203E">
      <w:pPr>
        <w:autoSpaceDE w:val="0"/>
        <w:autoSpaceDN w:val="0"/>
        <w:adjustRightInd w:val="0"/>
        <w:jc w:val="left"/>
        <w:rPr>
          <w:color w:val="FF0000"/>
          <w:szCs w:val="21"/>
        </w:rPr>
      </w:pPr>
      <w:r w:rsidRPr="009B3B2C">
        <w:rPr>
          <w:rFonts w:hint="eastAsia"/>
          <w:color w:val="FF0000"/>
          <w:szCs w:val="21"/>
        </w:rPr>
        <w:t>而</w:t>
      </w:r>
      <w:r w:rsidRPr="009B3B2C">
        <w:rPr>
          <w:rFonts w:hint="eastAsia"/>
          <w:color w:val="FF0000"/>
          <w:szCs w:val="21"/>
        </w:rPr>
        <w:t>假设站在投资时点</w:t>
      </w:r>
      <w:r w:rsidRPr="009B3B2C">
        <w:rPr>
          <w:color w:val="FF0000"/>
          <w:szCs w:val="21"/>
        </w:rPr>
        <w:t>t</w:t>
      </w:r>
      <w:r w:rsidRPr="009B3B2C">
        <w:rPr>
          <w:rFonts w:hint="eastAsia"/>
          <w:color w:val="FF0000"/>
          <w:szCs w:val="21"/>
        </w:rPr>
        <w:t>+</w:t>
      </w:r>
      <w:r w:rsidRPr="009B3B2C">
        <w:rPr>
          <w:color w:val="FF0000"/>
          <w:szCs w:val="21"/>
        </w:rPr>
        <w:t>1</w:t>
      </w:r>
      <w:r w:rsidRPr="009B3B2C">
        <w:rPr>
          <w:color w:val="FF0000"/>
          <w:szCs w:val="21"/>
        </w:rPr>
        <w:t xml:space="preserve"> </w:t>
      </w:r>
      <w:r w:rsidRPr="009B3B2C">
        <w:rPr>
          <w:rFonts w:hint="eastAsia"/>
          <w:color w:val="FF0000"/>
          <w:szCs w:val="21"/>
        </w:rPr>
        <w:t>时刻，</w:t>
      </w:r>
      <w:r w:rsidRPr="009B3B2C">
        <w:rPr>
          <w:rFonts w:hint="eastAsia"/>
          <w:color w:val="FF0000"/>
          <w:szCs w:val="21"/>
        </w:rPr>
        <w:t>我们可以得到</w:t>
      </w:r>
      <w:r w:rsidR="00EA3C4C" w:rsidRPr="009B3B2C">
        <w:rPr>
          <w:rFonts w:hint="eastAsia"/>
          <w:color w:val="FF0000"/>
          <w:szCs w:val="21"/>
        </w:rPr>
        <w:t>T</w:t>
      </w:r>
      <w:r w:rsidR="00EA3C4C" w:rsidRPr="009B3B2C">
        <w:rPr>
          <w:rFonts w:hint="eastAsia"/>
          <w:color w:val="FF0000"/>
          <w:szCs w:val="21"/>
        </w:rPr>
        <w:t>+</w:t>
      </w:r>
      <w:r w:rsidR="00EA3C4C" w:rsidRPr="009B3B2C">
        <w:rPr>
          <w:color w:val="FF0000"/>
          <w:szCs w:val="21"/>
        </w:rPr>
        <w:t>1</w:t>
      </w:r>
      <w:r w:rsidR="00EA3C4C" w:rsidRPr="009B3B2C">
        <w:rPr>
          <w:rFonts w:hint="eastAsia"/>
          <w:color w:val="FF0000"/>
          <w:szCs w:val="21"/>
        </w:rPr>
        <w:t>日</w:t>
      </w:r>
      <w:r w:rsidR="00EA3C4C" w:rsidRPr="009B3B2C">
        <w:rPr>
          <w:color w:val="FF0000"/>
          <w:szCs w:val="21"/>
        </w:rPr>
        <w:t>X in d u s t r y</w:t>
      </w:r>
      <w:r w:rsidR="00EA3C4C" w:rsidRPr="009B3B2C">
        <w:rPr>
          <w:rFonts w:hint="eastAsia"/>
          <w:color w:val="FF0000"/>
          <w:szCs w:val="21"/>
        </w:rPr>
        <w:t>，</w:t>
      </w:r>
      <w:r w:rsidR="00EA3C4C" w:rsidRPr="009B3B2C">
        <w:rPr>
          <w:color w:val="FF0000"/>
          <w:szCs w:val="21"/>
        </w:rPr>
        <w:t>X s t y l e</w:t>
      </w:r>
      <w:r w:rsidR="00EA3C4C" w:rsidRPr="009B3B2C">
        <w:rPr>
          <w:rFonts w:hint="eastAsia"/>
          <w:color w:val="FF0000"/>
          <w:szCs w:val="21"/>
        </w:rPr>
        <w:t>和Rt+1</w:t>
      </w:r>
      <w:r w:rsidRPr="009B3B2C">
        <w:rPr>
          <w:rFonts w:hint="eastAsia"/>
          <w:color w:val="FF0000"/>
          <w:szCs w:val="21"/>
        </w:rPr>
        <w:t>，因子值和收益率进行回归得到的是alpha收益的实际值</w:t>
      </w:r>
      <w:r w:rsidR="009B3B2C">
        <w:rPr>
          <w:rFonts w:hint="eastAsia"/>
          <w:color w:val="FF0000"/>
          <w:szCs w:val="21"/>
        </w:rPr>
        <w:t>。</w:t>
      </w:r>
    </w:p>
    <w:p w:rsidR="007B1D1B" w:rsidRDefault="007B1D1B" w:rsidP="0056203E">
      <w:pPr>
        <w:autoSpaceDE w:val="0"/>
        <w:autoSpaceDN w:val="0"/>
        <w:adjustRightInd w:val="0"/>
        <w:jc w:val="left"/>
        <w:rPr>
          <w:szCs w:val="21"/>
        </w:rPr>
      </w:pPr>
      <w:r w:rsidRPr="007D434D">
        <w:rPr>
          <w:b/>
          <w:color w:val="FF0000"/>
          <w:szCs w:val="21"/>
        </w:rPr>
        <w:t xml:space="preserve">阿尔法模型预测系数（IC </w:t>
      </w:r>
      <w:r>
        <w:rPr>
          <w:szCs w:val="21"/>
        </w:rPr>
        <w:t>of Alpha Model），即</w:t>
      </w:r>
    </w:p>
    <w:p w:rsidR="007B1D1B" w:rsidRDefault="007B1D1B" w:rsidP="0056203E">
      <w:pPr>
        <w:autoSpaceDE w:val="0"/>
        <w:autoSpaceDN w:val="0"/>
        <w:adjustRightInd w:val="0"/>
        <w:jc w:val="left"/>
        <w:rPr>
          <w:szCs w:val="21"/>
        </w:rPr>
      </w:pPr>
      <w:r>
        <w:rPr>
          <w:rFonts w:hint="eastAsia"/>
          <w:szCs w:val="21"/>
        </w:rPr>
        <w:t>ICvalue</w:t>
      </w:r>
      <w:r>
        <w:rPr>
          <w:szCs w:val="21"/>
        </w:rPr>
        <w:t xml:space="preserve"> = corr(</w:t>
      </w:r>
      <w:r>
        <w:rPr>
          <w:rFonts w:hint="eastAsia"/>
          <w:szCs w:val="21"/>
        </w:rPr>
        <w:t>预测值，实际值)</w:t>
      </w:r>
    </w:p>
    <w:p w:rsidR="007B1D1B" w:rsidRDefault="00EE17A0" w:rsidP="0056203E">
      <w:pPr>
        <w:autoSpaceDE w:val="0"/>
        <w:autoSpaceDN w:val="0"/>
        <w:adjustRightInd w:val="0"/>
        <w:jc w:val="left"/>
        <w:rPr>
          <w:szCs w:val="21"/>
        </w:rPr>
      </w:pPr>
      <w:r>
        <w:rPr>
          <w:rFonts w:hint="eastAsia"/>
          <w:szCs w:val="21"/>
        </w:rPr>
        <w:t>检验</w:t>
      </w:r>
      <w:r>
        <w:rPr>
          <w:szCs w:val="21"/>
        </w:rPr>
        <w:t>阿尔法模型的预测性是否显著，例如T检验，即</w:t>
      </w:r>
      <w:r w:rsidRPr="00977C64">
        <w:rPr>
          <w:szCs w:val="21"/>
        </w:rPr>
        <w:drawing>
          <wp:inline distT="0" distB="0" distL="0" distR="0" wp14:anchorId="3F385B81" wp14:editId="5CC81A57">
            <wp:extent cx="2913335" cy="31407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069" cy="337981"/>
                    </a:xfrm>
                    <a:prstGeom prst="rect">
                      <a:avLst/>
                    </a:prstGeom>
                  </pic:spPr>
                </pic:pic>
              </a:graphicData>
            </a:graphic>
          </wp:inline>
        </w:drawing>
      </w:r>
      <w:r w:rsidR="009B3B2C">
        <w:rPr>
          <w:rFonts w:hint="eastAsia"/>
          <w:szCs w:val="21"/>
        </w:rPr>
        <w:t>，即ICIR</w:t>
      </w:r>
    </w:p>
    <w:p w:rsidR="00EE17A0" w:rsidRDefault="00EE17A0" w:rsidP="0056203E">
      <w:pPr>
        <w:autoSpaceDE w:val="0"/>
        <w:autoSpaceDN w:val="0"/>
        <w:adjustRightInd w:val="0"/>
        <w:jc w:val="left"/>
        <w:rPr>
          <w:szCs w:val="21"/>
        </w:rPr>
      </w:pPr>
      <w:r>
        <w:rPr>
          <w:szCs w:val="21"/>
        </w:rPr>
        <w:t>显著性检验的结果即可视为对一个阿尔法模型的定量评价，那么对于若干不同的阿尔法模型就可以有严格的好坏区分。</w:t>
      </w:r>
    </w:p>
    <w:p w:rsidR="00977C64" w:rsidRDefault="00977C64" w:rsidP="0056203E">
      <w:pPr>
        <w:autoSpaceDE w:val="0"/>
        <w:autoSpaceDN w:val="0"/>
        <w:adjustRightInd w:val="0"/>
        <w:jc w:val="left"/>
        <w:rPr>
          <w:szCs w:val="21"/>
        </w:rPr>
      </w:pPr>
    </w:p>
    <w:p w:rsidR="00977C64" w:rsidRDefault="00977C64" w:rsidP="0056203E">
      <w:pPr>
        <w:autoSpaceDE w:val="0"/>
        <w:autoSpaceDN w:val="0"/>
        <w:adjustRightInd w:val="0"/>
        <w:jc w:val="left"/>
        <w:rPr>
          <w:szCs w:val="21"/>
        </w:rPr>
      </w:pPr>
      <w:r>
        <w:rPr>
          <w:rFonts w:hint="eastAsia"/>
          <w:szCs w:val="21"/>
        </w:rPr>
        <w:t xml:space="preserve">第二 </w:t>
      </w:r>
      <w:r w:rsidRPr="00977C64">
        <w:rPr>
          <w:rFonts w:hint="eastAsia"/>
          <w:szCs w:val="21"/>
        </w:rPr>
        <w:t>基于短周期价量特征的多因子选股体系</w:t>
      </w:r>
    </w:p>
    <w:p w:rsidR="00977C64" w:rsidRDefault="00977C64" w:rsidP="0056203E">
      <w:pPr>
        <w:autoSpaceDE w:val="0"/>
        <w:autoSpaceDN w:val="0"/>
        <w:adjustRightInd w:val="0"/>
        <w:jc w:val="left"/>
        <w:rPr>
          <w:szCs w:val="21"/>
        </w:rPr>
      </w:pPr>
      <w:r>
        <w:rPr>
          <w:szCs w:val="21"/>
        </w:rPr>
        <w:t>我们在每一期的股票截面上，计算全部个股的价量特征因子值，随后进行统计显著性检验。具体的，我们将检验风格因子中性后的因子收益率、因子收益率IR、因子相关系数和因子相关系数IR（Factor Return、Factor Return IR、IC、ICIR）</w:t>
      </w:r>
    </w:p>
    <w:p w:rsidR="00977C64" w:rsidRPr="007D434D" w:rsidRDefault="007D434D" w:rsidP="0056203E">
      <w:pPr>
        <w:autoSpaceDE w:val="0"/>
        <w:autoSpaceDN w:val="0"/>
        <w:adjustRightInd w:val="0"/>
        <w:jc w:val="left"/>
        <w:rPr>
          <w:b/>
          <w:color w:val="FF0000"/>
          <w:szCs w:val="21"/>
        </w:rPr>
      </w:pPr>
      <w:r w:rsidRPr="007D434D">
        <w:rPr>
          <w:rFonts w:hint="eastAsia"/>
          <w:b/>
          <w:color w:val="FF0000"/>
          <w:szCs w:val="21"/>
        </w:rPr>
        <w:t>风格中性后的因子收益率的计算：</w:t>
      </w:r>
    </w:p>
    <w:p w:rsidR="007D434D" w:rsidRPr="007D434D" w:rsidRDefault="007D434D" w:rsidP="0056203E">
      <w:pPr>
        <w:autoSpaceDE w:val="0"/>
        <w:autoSpaceDN w:val="0"/>
        <w:adjustRightInd w:val="0"/>
        <w:jc w:val="left"/>
        <w:rPr>
          <w:color w:val="ACB9CA" w:themeColor="text2" w:themeTint="66"/>
          <w:szCs w:val="21"/>
        </w:rPr>
      </w:pPr>
      <w:r w:rsidRPr="007D434D">
        <w:rPr>
          <w:rFonts w:hint="eastAsia"/>
          <w:color w:val="ACB9CA" w:themeColor="text2" w:themeTint="66"/>
          <w:szCs w:val="21"/>
        </w:rPr>
        <w:t>先通过多元回归进行市值和风格中性，得到残差值，即alpha收益。然后再用该alpha收益对因子值进行回归，得到的因子值的系数为因子收益，得到的残差为其它所有因素（因子）的收益。</w:t>
      </w:r>
    </w:p>
    <w:p w:rsidR="007D434D" w:rsidRDefault="007D434D" w:rsidP="0056203E">
      <w:pPr>
        <w:autoSpaceDE w:val="0"/>
        <w:autoSpaceDN w:val="0"/>
        <w:adjustRightInd w:val="0"/>
        <w:jc w:val="left"/>
        <w:rPr>
          <w:szCs w:val="21"/>
        </w:rPr>
      </w:pPr>
    </w:p>
    <w:p w:rsidR="007D434D" w:rsidRDefault="007D434D" w:rsidP="0056203E">
      <w:pPr>
        <w:autoSpaceDE w:val="0"/>
        <w:autoSpaceDN w:val="0"/>
        <w:adjustRightInd w:val="0"/>
        <w:jc w:val="left"/>
        <w:rPr>
          <w:szCs w:val="21"/>
        </w:rPr>
      </w:pPr>
      <w:r>
        <w:rPr>
          <w:rFonts w:hint="eastAsia"/>
          <w:szCs w:val="21"/>
        </w:rPr>
        <w:t xml:space="preserve">第三 </w:t>
      </w:r>
      <w:r>
        <w:rPr>
          <w:szCs w:val="21"/>
        </w:rPr>
        <w:t>对所有</w:t>
      </w:r>
      <w:r w:rsidRPr="00EB777E">
        <w:rPr>
          <w:b/>
          <w:color w:val="FF0000"/>
          <w:szCs w:val="21"/>
        </w:rPr>
        <w:t>单因子</w:t>
      </w:r>
      <w:r>
        <w:rPr>
          <w:szCs w:val="21"/>
        </w:rPr>
        <w:t>进行有效性及预测周期检验，进而判断整个因子体系的可靠程度以及可预测的未来极限周期</w:t>
      </w:r>
    </w:p>
    <w:p w:rsidR="007D434D" w:rsidRPr="007D434D" w:rsidRDefault="007D434D" w:rsidP="0056203E">
      <w:pPr>
        <w:autoSpaceDE w:val="0"/>
        <w:autoSpaceDN w:val="0"/>
        <w:adjustRightInd w:val="0"/>
        <w:jc w:val="left"/>
        <w:rPr>
          <w:rFonts w:hint="eastAsia"/>
          <w:b/>
          <w:color w:val="FF0000"/>
          <w:szCs w:val="21"/>
        </w:rPr>
      </w:pPr>
      <w:r w:rsidRPr="007D434D">
        <w:rPr>
          <w:b/>
          <w:color w:val="FF0000"/>
          <w:szCs w:val="21"/>
        </w:rPr>
        <w:t>单因子显著性及有效周期检验的具体步骤如下：</w:t>
      </w:r>
    </w:p>
    <w:p w:rsidR="00977C64" w:rsidRDefault="007D434D" w:rsidP="0056203E">
      <w:pPr>
        <w:autoSpaceDE w:val="0"/>
        <w:autoSpaceDN w:val="0"/>
        <w:adjustRightInd w:val="0"/>
        <w:jc w:val="left"/>
        <w:rPr>
          <w:szCs w:val="21"/>
        </w:rPr>
      </w:pPr>
      <w:r>
        <w:rPr>
          <w:noProof/>
        </w:rPr>
        <w:lastRenderedPageBreak/>
        <w:drawing>
          <wp:inline distT="0" distB="0" distL="0" distR="0" wp14:anchorId="221F5D45" wp14:editId="11E63B08">
            <wp:extent cx="5274310" cy="3167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67380"/>
                    </a:xfrm>
                    <a:prstGeom prst="rect">
                      <a:avLst/>
                    </a:prstGeom>
                  </pic:spPr>
                </pic:pic>
              </a:graphicData>
            </a:graphic>
          </wp:inline>
        </w:drawing>
      </w:r>
    </w:p>
    <w:p w:rsidR="007D434D" w:rsidRDefault="007D434D" w:rsidP="0056203E">
      <w:pPr>
        <w:autoSpaceDE w:val="0"/>
        <w:autoSpaceDN w:val="0"/>
        <w:adjustRightInd w:val="0"/>
        <w:jc w:val="left"/>
        <w:rPr>
          <w:szCs w:val="21"/>
        </w:rPr>
      </w:pPr>
    </w:p>
    <w:p w:rsidR="00A556D4" w:rsidRDefault="007D434D" w:rsidP="0056203E">
      <w:pPr>
        <w:autoSpaceDE w:val="0"/>
        <w:autoSpaceDN w:val="0"/>
        <w:adjustRightInd w:val="0"/>
        <w:jc w:val="left"/>
        <w:rPr>
          <w:rFonts w:hint="eastAsia"/>
          <w:szCs w:val="21"/>
        </w:rPr>
      </w:pPr>
      <w:r>
        <w:rPr>
          <w:szCs w:val="21"/>
        </w:rPr>
        <w:t>我们统计了全部因子分别在预测周期为1天、2天、3天、4天、5天的情况下，年化因子收益率及信息比率。</w:t>
      </w:r>
    </w:p>
    <w:p w:rsidR="00A556D4" w:rsidRPr="00A556D4" w:rsidRDefault="00A556D4" w:rsidP="00A556D4">
      <w:pPr>
        <w:autoSpaceDE w:val="0"/>
        <w:autoSpaceDN w:val="0"/>
        <w:adjustRightInd w:val="0"/>
        <w:jc w:val="left"/>
        <w:rPr>
          <w:rFonts w:ascii="KaiTi" w:hAnsi="KaiTi" w:cs="KaiTi"/>
          <w:color w:val="000000"/>
          <w:kern w:val="0"/>
          <w:szCs w:val="21"/>
        </w:rPr>
      </w:pPr>
      <w:r w:rsidRPr="00A556D4">
        <w:rPr>
          <w:rFonts w:ascii="KaiTi" w:hAnsi="KaiTi" w:cs="KaiTi"/>
          <w:color w:val="000000"/>
          <w:kern w:val="0"/>
          <w:szCs w:val="21"/>
        </w:rPr>
        <w:t>15%</w:t>
      </w:r>
      <w:r w:rsidRPr="00A556D4">
        <w:rPr>
          <w:rFonts w:ascii="KaiTi" w:hAnsi="KaiTi" w:cs="KaiTi"/>
          <w:color w:val="000000"/>
          <w:kern w:val="0"/>
          <w:szCs w:val="21"/>
        </w:rPr>
        <w:t>。从平均收益情况而言，因子体系对未来</w:t>
      </w:r>
      <w:r w:rsidRPr="00A556D4">
        <w:rPr>
          <w:rFonts w:ascii="KaiTi" w:hAnsi="KaiTi" w:cs="KaiTi"/>
          <w:color w:val="000000"/>
          <w:kern w:val="0"/>
          <w:szCs w:val="21"/>
        </w:rPr>
        <w:t>2</w:t>
      </w:r>
      <w:r w:rsidRPr="00A556D4">
        <w:rPr>
          <w:rFonts w:ascii="KaiTi" w:hAnsi="KaiTi" w:cs="KaiTi"/>
          <w:color w:val="000000"/>
          <w:kern w:val="0"/>
          <w:szCs w:val="21"/>
        </w:rPr>
        <w:t>天的收益预测平均收益最高，</w:t>
      </w:r>
      <w:r w:rsidRPr="00A556D4">
        <w:rPr>
          <w:rFonts w:ascii="KaiTi" w:hAnsi="KaiTi" w:cs="KaiTi"/>
          <w:color w:val="000000"/>
          <w:kern w:val="0"/>
          <w:szCs w:val="21"/>
        </w:rPr>
        <w:t>T+3</w:t>
      </w:r>
      <w:r w:rsidRPr="00A556D4">
        <w:rPr>
          <w:rFonts w:ascii="KaiTi" w:hAnsi="KaiTi" w:cs="KaiTi"/>
          <w:color w:val="000000"/>
          <w:kern w:val="0"/>
          <w:szCs w:val="21"/>
        </w:rPr>
        <w:t>日之后收益情况递减。</w:t>
      </w:r>
    </w:p>
    <w:p w:rsidR="00A556D4" w:rsidRDefault="00A556D4" w:rsidP="00A556D4">
      <w:pPr>
        <w:autoSpaceDE w:val="0"/>
        <w:autoSpaceDN w:val="0"/>
        <w:adjustRightInd w:val="0"/>
        <w:jc w:val="left"/>
        <w:rPr>
          <w:szCs w:val="21"/>
        </w:rPr>
      </w:pPr>
      <w:r w:rsidRPr="00A556D4">
        <w:rPr>
          <w:rFonts w:ascii="KaiTi" w:hAnsi="KaiTi" w:cs="KaiTi"/>
          <w:color w:val="000000"/>
          <w:kern w:val="0"/>
          <w:szCs w:val="21"/>
        </w:rPr>
        <w:t>平均来说因子体系对越短周期的预测显著性越强，呈现明显的单调变化</w:t>
      </w:r>
      <w:r w:rsidR="0035480E">
        <w:rPr>
          <w:rFonts w:ascii="KaiTi" w:hAnsi="KaiTi" w:cs="KaiTi" w:hint="eastAsia"/>
          <w:color w:val="000000"/>
          <w:kern w:val="0"/>
          <w:szCs w:val="21"/>
        </w:rPr>
        <w:t>。</w:t>
      </w:r>
      <w:r w:rsidR="0035480E">
        <w:rPr>
          <w:szCs w:val="21"/>
        </w:rPr>
        <w:t>周期的预测显著性越强，呈现明显的单调变化。而在T+4日之后，整体因子收益率IR均值未达到95%统计显著性水平。换言之，因子体系的预测周期极限即为T+4日。</w:t>
      </w:r>
    </w:p>
    <w:p w:rsidR="003321B7" w:rsidRDefault="003321B7" w:rsidP="00A556D4">
      <w:pPr>
        <w:autoSpaceDE w:val="0"/>
        <w:autoSpaceDN w:val="0"/>
        <w:adjustRightInd w:val="0"/>
        <w:jc w:val="left"/>
        <w:rPr>
          <w:szCs w:val="21"/>
        </w:rPr>
      </w:pPr>
    </w:p>
    <w:p w:rsidR="003321B7" w:rsidRDefault="003321B7" w:rsidP="00A556D4">
      <w:pPr>
        <w:autoSpaceDE w:val="0"/>
        <w:autoSpaceDN w:val="0"/>
        <w:adjustRightInd w:val="0"/>
        <w:jc w:val="left"/>
        <w:rPr>
          <w:szCs w:val="21"/>
        </w:rPr>
      </w:pPr>
      <w:r>
        <w:rPr>
          <w:szCs w:val="21"/>
        </w:rPr>
        <w:t>对于因子体系的相关性问题，由于短周期因子体系的因子数量较多，我们则不再对任意两两因子做正交处理，而选择在构建完毕所有因子后统一处理，即在我们得到所有因子收益率之后，我们分别计算任意两个因子和的因子收益率相关系数，若相关系数大于某一给定阈值，则剔除因子收益率IR较低的因子，保留IR</w:t>
      </w:r>
      <w:r>
        <w:rPr>
          <w:szCs w:val="21"/>
        </w:rPr>
        <w:t>较高的因子</w:t>
      </w:r>
      <w:r>
        <w:rPr>
          <w:rFonts w:hint="eastAsia"/>
          <w:szCs w:val="21"/>
        </w:rPr>
        <w:t>。</w:t>
      </w:r>
    </w:p>
    <w:p w:rsidR="003321B7" w:rsidRDefault="003321B7" w:rsidP="00A556D4">
      <w:pPr>
        <w:autoSpaceDE w:val="0"/>
        <w:autoSpaceDN w:val="0"/>
        <w:adjustRightInd w:val="0"/>
        <w:jc w:val="left"/>
        <w:rPr>
          <w:szCs w:val="21"/>
        </w:rPr>
      </w:pPr>
      <w:r>
        <w:rPr>
          <w:szCs w:val="21"/>
        </w:rPr>
        <w:t>上述因子收益率显著性、相关性、及预测周期的分析表明，在短周期内（T&lt;4</w:t>
      </w:r>
      <w:r>
        <w:rPr>
          <w:szCs w:val="21"/>
        </w:rPr>
        <w:t>天）因子体系呈现了整体高显著、低相关的特征</w:t>
      </w:r>
      <w:r>
        <w:rPr>
          <w:rFonts w:hint="eastAsia"/>
          <w:szCs w:val="21"/>
        </w:rPr>
        <w:t>。</w:t>
      </w:r>
    </w:p>
    <w:p w:rsidR="00A70DB1" w:rsidRDefault="00A70DB1" w:rsidP="00A556D4">
      <w:pPr>
        <w:autoSpaceDE w:val="0"/>
        <w:autoSpaceDN w:val="0"/>
        <w:adjustRightInd w:val="0"/>
        <w:jc w:val="left"/>
        <w:rPr>
          <w:szCs w:val="21"/>
        </w:rPr>
      </w:pPr>
    </w:p>
    <w:p w:rsidR="00DF3D87" w:rsidRDefault="00A70DB1" w:rsidP="00A556D4">
      <w:pPr>
        <w:autoSpaceDE w:val="0"/>
        <w:autoSpaceDN w:val="0"/>
        <w:adjustRightInd w:val="0"/>
        <w:jc w:val="left"/>
        <w:rPr>
          <w:szCs w:val="21"/>
        </w:rPr>
      </w:pPr>
      <w:r>
        <w:rPr>
          <w:rFonts w:hint="eastAsia"/>
          <w:szCs w:val="21"/>
        </w:rPr>
        <w:t xml:space="preserve">第三 </w:t>
      </w:r>
      <w:r>
        <w:rPr>
          <w:rFonts w:hint="eastAsia"/>
          <w:szCs w:val="21"/>
        </w:rPr>
        <w:t>因子体系的预测能力</w:t>
      </w:r>
      <w:r>
        <w:rPr>
          <w:rFonts w:hint="eastAsia"/>
          <w:szCs w:val="21"/>
        </w:rPr>
        <w:t>：</w:t>
      </w:r>
    </w:p>
    <w:p w:rsidR="00A70DB1" w:rsidRDefault="00EB777E" w:rsidP="00A556D4">
      <w:pPr>
        <w:autoSpaceDE w:val="0"/>
        <w:autoSpaceDN w:val="0"/>
        <w:adjustRightInd w:val="0"/>
        <w:jc w:val="left"/>
        <w:rPr>
          <w:szCs w:val="21"/>
        </w:rPr>
      </w:pPr>
      <w:r>
        <w:rPr>
          <w:szCs w:val="21"/>
        </w:rPr>
        <w:t>我们首先利用一定的转化方式，将全部因子转化为对个股阿尔法收益截面的预测值，并进而统计预测值与事后计算可得的实际值进行相关系数计算及其显著性检验。我们考察当预测周期t=1的情况下，模型预测系数（IC of Alpha Model）的计算结果，具体方法如下：</w:t>
      </w:r>
    </w:p>
    <w:p w:rsidR="00EB777E" w:rsidRDefault="00EB777E" w:rsidP="00A556D4">
      <w:pPr>
        <w:autoSpaceDE w:val="0"/>
        <w:autoSpaceDN w:val="0"/>
        <w:adjustRightInd w:val="0"/>
        <w:jc w:val="left"/>
        <w:rPr>
          <w:rFonts w:hint="eastAsia"/>
          <w:szCs w:val="21"/>
        </w:rPr>
      </w:pPr>
      <w:r>
        <w:rPr>
          <w:noProof/>
        </w:rPr>
        <w:lastRenderedPageBreak/>
        <w:drawing>
          <wp:inline distT="0" distB="0" distL="0" distR="0" wp14:anchorId="31B50C42" wp14:editId="57B4F54A">
            <wp:extent cx="5274310" cy="45700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70095"/>
                    </a:xfrm>
                    <a:prstGeom prst="rect">
                      <a:avLst/>
                    </a:prstGeom>
                  </pic:spPr>
                </pic:pic>
              </a:graphicData>
            </a:graphic>
          </wp:inline>
        </w:drawing>
      </w:r>
    </w:p>
    <w:p w:rsidR="00DF3D87" w:rsidRPr="00A70DB1" w:rsidRDefault="00EB777E" w:rsidP="00A556D4">
      <w:pPr>
        <w:autoSpaceDE w:val="0"/>
        <w:autoSpaceDN w:val="0"/>
        <w:adjustRightInd w:val="0"/>
        <w:jc w:val="left"/>
        <w:rPr>
          <w:szCs w:val="21"/>
        </w:rPr>
      </w:pPr>
      <w:r>
        <w:rPr>
          <w:rFonts w:hint="eastAsia"/>
          <w:szCs w:val="21"/>
        </w:rPr>
        <w:t xml:space="preserve">第四 </w:t>
      </w:r>
      <w:r>
        <w:rPr>
          <w:rFonts w:hint="eastAsia"/>
          <w:sz w:val="23"/>
          <w:szCs w:val="23"/>
        </w:rPr>
        <w:t>基于短周期价量特征的风格中性多因子选股策略</w:t>
      </w:r>
    </w:p>
    <w:p w:rsidR="00DF3D87" w:rsidRDefault="000C05C6" w:rsidP="00A556D4">
      <w:pPr>
        <w:autoSpaceDE w:val="0"/>
        <w:autoSpaceDN w:val="0"/>
        <w:adjustRightInd w:val="0"/>
        <w:jc w:val="left"/>
        <w:rPr>
          <w:szCs w:val="21"/>
        </w:rPr>
      </w:pPr>
      <w:r>
        <w:rPr>
          <w:noProof/>
        </w:rPr>
        <w:lastRenderedPageBreak/>
        <w:drawing>
          <wp:inline distT="0" distB="0" distL="0" distR="0" wp14:anchorId="38C226C6" wp14:editId="3664C4DD">
            <wp:extent cx="5274310" cy="62839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283960"/>
                    </a:xfrm>
                    <a:prstGeom prst="rect">
                      <a:avLst/>
                    </a:prstGeom>
                  </pic:spPr>
                </pic:pic>
              </a:graphicData>
            </a:graphic>
          </wp:inline>
        </w:drawing>
      </w:r>
    </w:p>
    <w:p w:rsidR="00DF3D87" w:rsidRDefault="00DF3D87" w:rsidP="00A556D4">
      <w:pPr>
        <w:autoSpaceDE w:val="0"/>
        <w:autoSpaceDN w:val="0"/>
        <w:adjustRightInd w:val="0"/>
        <w:jc w:val="left"/>
        <w:rPr>
          <w:szCs w:val="21"/>
        </w:rPr>
      </w:pPr>
    </w:p>
    <w:p w:rsidR="00DF3D87" w:rsidRDefault="00DF3D87" w:rsidP="00A556D4">
      <w:pPr>
        <w:autoSpaceDE w:val="0"/>
        <w:autoSpaceDN w:val="0"/>
        <w:adjustRightInd w:val="0"/>
        <w:jc w:val="left"/>
        <w:rPr>
          <w:szCs w:val="21"/>
        </w:rPr>
      </w:pPr>
      <w:bookmarkStart w:id="0" w:name="_GoBack"/>
      <w:bookmarkEnd w:id="0"/>
    </w:p>
    <w:p w:rsidR="00DF3D87" w:rsidRDefault="00DF3D87" w:rsidP="00A556D4">
      <w:pPr>
        <w:autoSpaceDE w:val="0"/>
        <w:autoSpaceDN w:val="0"/>
        <w:adjustRightInd w:val="0"/>
        <w:jc w:val="left"/>
        <w:rPr>
          <w:szCs w:val="21"/>
        </w:rPr>
      </w:pPr>
    </w:p>
    <w:p w:rsidR="00DF3D87" w:rsidRPr="007D434D" w:rsidRDefault="00DF3D87" w:rsidP="00A556D4">
      <w:pPr>
        <w:autoSpaceDE w:val="0"/>
        <w:autoSpaceDN w:val="0"/>
        <w:adjustRightInd w:val="0"/>
        <w:jc w:val="left"/>
        <w:rPr>
          <w:rFonts w:hint="eastAsia"/>
          <w:szCs w:val="21"/>
        </w:rPr>
      </w:pPr>
    </w:p>
    <w:sectPr w:rsidR="00DF3D87" w:rsidRPr="007D4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2A2" w:rsidRDefault="00E022A2" w:rsidP="000C43EB">
      <w:r>
        <w:separator/>
      </w:r>
    </w:p>
  </w:endnote>
  <w:endnote w:type="continuationSeparator" w:id="0">
    <w:p w:rsidR="00E022A2" w:rsidRDefault="00E022A2" w:rsidP="000C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_GB2312">
    <w:altName w:val="楷体B社."/>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楷体_哝.呞眜."/>
    <w:panose1 w:val="00000000000000000000"/>
    <w:charset w:val="00"/>
    <w:family w:val="swiss"/>
    <w:notTrueType/>
    <w:pitch w:val="default"/>
    <w:sig w:usb0="00000003" w:usb1="080E0000" w:usb2="00000010"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2A2" w:rsidRDefault="00E022A2" w:rsidP="000C43EB">
      <w:r>
        <w:separator/>
      </w:r>
    </w:p>
  </w:footnote>
  <w:footnote w:type="continuationSeparator" w:id="0">
    <w:p w:rsidR="00E022A2" w:rsidRDefault="00E022A2" w:rsidP="000C4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30"/>
    <w:rsid w:val="000565D8"/>
    <w:rsid w:val="000C05C6"/>
    <w:rsid w:val="000C43EB"/>
    <w:rsid w:val="00110A4F"/>
    <w:rsid w:val="00144021"/>
    <w:rsid w:val="003321B7"/>
    <w:rsid w:val="0035480E"/>
    <w:rsid w:val="0056203E"/>
    <w:rsid w:val="00687D95"/>
    <w:rsid w:val="007B1D1B"/>
    <w:rsid w:val="007D434D"/>
    <w:rsid w:val="007E0911"/>
    <w:rsid w:val="00977C64"/>
    <w:rsid w:val="009B3B2C"/>
    <w:rsid w:val="00A10EEA"/>
    <w:rsid w:val="00A556D4"/>
    <w:rsid w:val="00A70DB1"/>
    <w:rsid w:val="00D6079C"/>
    <w:rsid w:val="00DF3D87"/>
    <w:rsid w:val="00E022A2"/>
    <w:rsid w:val="00E66430"/>
    <w:rsid w:val="00EA3C4C"/>
    <w:rsid w:val="00EB777E"/>
    <w:rsid w:val="00EC3DEA"/>
    <w:rsid w:val="00EE17A0"/>
    <w:rsid w:val="00FA45F0"/>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F912E"/>
  <w15:chartTrackingRefBased/>
  <w15:docId w15:val="{E285C8D5-A5EE-40AA-9BF8-52725F41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43EB"/>
    <w:rPr>
      <w:sz w:val="18"/>
      <w:szCs w:val="18"/>
    </w:rPr>
  </w:style>
  <w:style w:type="paragraph" w:styleId="a5">
    <w:name w:val="footer"/>
    <w:basedOn w:val="a"/>
    <w:link w:val="a6"/>
    <w:uiPriority w:val="99"/>
    <w:unhideWhenUsed/>
    <w:rsid w:val="000C43EB"/>
    <w:pPr>
      <w:tabs>
        <w:tab w:val="center" w:pos="4153"/>
        <w:tab w:val="right" w:pos="8306"/>
      </w:tabs>
      <w:snapToGrid w:val="0"/>
      <w:jc w:val="left"/>
    </w:pPr>
    <w:rPr>
      <w:sz w:val="18"/>
      <w:szCs w:val="18"/>
    </w:rPr>
  </w:style>
  <w:style w:type="character" w:customStyle="1" w:styleId="a6">
    <w:name w:val="页脚 字符"/>
    <w:basedOn w:val="a0"/>
    <w:link w:val="a5"/>
    <w:uiPriority w:val="99"/>
    <w:rsid w:val="000C43EB"/>
    <w:rPr>
      <w:sz w:val="18"/>
      <w:szCs w:val="18"/>
    </w:rPr>
  </w:style>
  <w:style w:type="paragraph" w:customStyle="1" w:styleId="Default">
    <w:name w:val="Default"/>
    <w:rsid w:val="000C43EB"/>
    <w:pPr>
      <w:widowControl w:val="0"/>
      <w:autoSpaceDE w:val="0"/>
      <w:autoSpaceDN w:val="0"/>
      <w:adjustRightInd w:val="0"/>
    </w:pPr>
    <w:rPr>
      <w:rFonts w:ascii="KaiTi_GB2312" w:eastAsia="KaiTi_GB2312" w:cs="KaiTi_GB2312"/>
      <w:color w:val="000000"/>
      <w:kern w:val="0"/>
      <w:sz w:val="24"/>
      <w:szCs w:val="24"/>
    </w:rPr>
  </w:style>
  <w:style w:type="paragraph" w:styleId="a7">
    <w:name w:val="Normal (Web)"/>
    <w:basedOn w:val="a"/>
    <w:uiPriority w:val="99"/>
    <w:unhideWhenUsed/>
    <w:rsid w:val="00A556D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55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2C60-A6DD-4A9A-9498-7167235D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wuwangchuxin</dc:creator>
  <cp:keywords/>
  <dc:description/>
  <cp:lastModifiedBy>wuwangchuxin</cp:lastModifiedBy>
  <cp:revision>22</cp:revision>
  <dcterms:created xsi:type="dcterms:W3CDTF">2018-04-01T12:44:00Z</dcterms:created>
  <dcterms:modified xsi:type="dcterms:W3CDTF">2018-04-01T14:07:00Z</dcterms:modified>
</cp:coreProperties>
</file>