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FC" w:rsidRPr="00C1273C" w:rsidRDefault="00A72F70" w:rsidP="00047CFC">
      <w:pPr>
        <w:spacing w:after="0" w:line="240" w:lineRule="auto"/>
        <w:rPr>
          <w:rFonts w:asciiTheme="minorHAnsi" w:hAnsiTheme="minorHAnsi" w:cstheme="minorHAnsi"/>
          <w:b/>
          <w:cap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aps/>
          <w:color w:val="000000" w:themeColor="text1"/>
          <w:sz w:val="24"/>
          <w:szCs w:val="24"/>
        </w:rPr>
        <w:t>Ravi teja</w:t>
      </w:r>
    </w:p>
    <w:p w:rsidR="00047CFC" w:rsidRPr="00C1273C" w:rsidRDefault="00047CFC" w:rsidP="00047CF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C1273C">
        <w:rPr>
          <w:rFonts w:asciiTheme="minorHAnsi" w:eastAsia="Times New Roman" w:hAnsiTheme="minorHAnsi" w:cstheme="minorHAnsi"/>
          <w:color w:val="000000" w:themeColor="text1"/>
          <w:sz w:val="24"/>
          <w:szCs w:val="24"/>
          <w:u w:val="single"/>
        </w:rPr>
        <w:t>E-mail:</w:t>
      </w:r>
      <w:r w:rsidRPr="00C1273C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 </w:t>
      </w:r>
      <w:hyperlink r:id="rId5" w:history="1"/>
      <w:r w:rsidRPr="00C1273C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A72F70">
        <w:rPr>
          <w:rStyle w:val="Hyperlink"/>
          <w:rFonts w:asciiTheme="minorHAnsi" w:eastAsia="Times New Roman" w:hAnsiTheme="minorHAnsi" w:cstheme="minorHAnsi"/>
          <w:color w:val="000000" w:themeColor="text1"/>
          <w:sz w:val="24"/>
          <w:szCs w:val="24"/>
        </w:rPr>
        <w:t>rteja0305</w:t>
      </w:r>
      <w:r w:rsidR="00331B08">
        <w:rPr>
          <w:rStyle w:val="Hyperlink"/>
          <w:rFonts w:asciiTheme="minorHAnsi" w:eastAsia="Times New Roman" w:hAnsiTheme="minorHAnsi" w:cstheme="minorHAnsi"/>
          <w:color w:val="000000" w:themeColor="text1"/>
          <w:sz w:val="24"/>
          <w:szCs w:val="24"/>
        </w:rPr>
        <w:t>@gmail.com</w:t>
      </w:r>
    </w:p>
    <w:p w:rsidR="00047CFC" w:rsidRDefault="00047CFC" w:rsidP="00047CFC">
      <w:pPr>
        <w:pBdr>
          <w:bottom w:val="single" w:sz="6" w:space="1" w:color="auto"/>
        </w:pBd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C1273C">
        <w:rPr>
          <w:rFonts w:asciiTheme="minorHAnsi" w:eastAsia="Times New Roman" w:hAnsiTheme="minorHAnsi" w:cstheme="minorHAnsi"/>
          <w:color w:val="000000" w:themeColor="text1"/>
          <w:sz w:val="24"/>
          <w:szCs w:val="24"/>
          <w:u w:val="single"/>
        </w:rPr>
        <w:t>Mobile:</w:t>
      </w:r>
      <w:r w:rsidRPr="00C1273C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C1273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+91-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9502663572</w:t>
      </w:r>
    </w:p>
    <w:p w:rsidR="00047CFC" w:rsidRPr="00C1273C" w:rsidRDefault="00047CFC" w:rsidP="00047CFC">
      <w:pPr>
        <w:pBdr>
          <w:bottom w:val="single" w:sz="6" w:space="1" w:color="auto"/>
        </w:pBd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ab/>
        <w:t xml:space="preserve">          </w:t>
      </w:r>
    </w:p>
    <w:p w:rsidR="00047CFC" w:rsidRPr="00C1273C" w:rsidRDefault="00047CFC" w:rsidP="00047CFC">
      <w:pPr>
        <w:pBdr>
          <w:bottom w:val="single" w:sz="6" w:space="1" w:color="auto"/>
        </w:pBd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10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9589"/>
      </w:tblGrid>
      <w:tr w:rsidR="00047CFC" w:rsidRPr="00C1273C" w:rsidTr="0085275E">
        <w:trPr>
          <w:cantSplit/>
          <w:trHeight w:val="8564"/>
        </w:trPr>
        <w:tc>
          <w:tcPr>
            <w:tcW w:w="563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9749" w:type="dxa"/>
          </w:tcPr>
          <w:p w:rsidR="00047CFC" w:rsidRPr="00C1273C" w:rsidRDefault="00047CFC" w:rsidP="0085275E">
            <w:pPr>
              <w:spacing w:after="2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AWS 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Administrator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Summary:</w:t>
            </w:r>
            <w:r w:rsidRPr="00C1273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Tier 2 support and managing the services within AWS and global IT infrastructure.</w:t>
            </w:r>
          </w:p>
          <w:p w:rsidR="00047CFC" w:rsidRPr="00C1273C" w:rsidRDefault="00047CFC" w:rsidP="0085275E">
            <w:pPr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Manage and configure AWS services as per the business needs (IAM, S3, EC2, Route53, ELB, RDS, Cloud Watch, VPC, SNS, SES, </w:t>
            </w:r>
            <w:proofErr w:type="gram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Etc )</w:t>
            </w:r>
            <w:proofErr w:type="gramEnd"/>
            <w:r w:rsidRPr="00C1273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Creating load balancing and auto scaling depends upon the requirement.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Setup/Managing Linux Servers on Amazon (EC2, EBS, ELB, SSL, Security Groups, RDS and IAM).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Setup/Managing VPC, Subnets; make connection between different zones; blocking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suspicious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ip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/subnet via ACL.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Setup/Managing CDN on Amazon Cloud-front (Origin Path: Server / S3) to improve site performance. 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the VPC, Subnets, Network Security Group (NSG), Network Access Control (NACL), INTERNET GATWAY.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Create/Managing buckets on S3 (CLI) and store db and logs backup, upload images for CDN serve.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Setup/Managing Databases on Amazon RDS. Monitoring servers thorough Amazon Cloud Watch.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Creating/Managing DNS records on Amazon Route 53.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Creating/Managing AMI/Snapshots/Volumes, Upgrade/downgrade AWS resources (CPU, Memory, EBS</w:t>
            </w:r>
            <w:proofErr w:type="gram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) .</w:t>
            </w:r>
            <w:proofErr w:type="gram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Creating AWS Instances and Resources Bills.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Maintaining highly reliable 24x7x365 Linux production support for internal, global and AWS EC2 instances.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IAM and its policy management to restrict users to particular AWS Resources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Cloud watch for monitor critical system health, performance, security, disk usages System jobs and housekeeping of OS logs..... Etc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Experience in update Patch and packages and user account creation password reset</w:t>
            </w:r>
          </w:p>
          <w:p w:rsidR="00047CFC" w:rsidRPr="00C1273C" w:rsidRDefault="00047CFC" w:rsidP="0085275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Linux </w:t>
            </w:r>
            <w:r w:rsidRPr="00FE001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Administrator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Summary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Installed and Setup Web Server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(Apache and Tomcat),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NFS server.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Domain's and Database's migration on Amazon Web Services.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Setting up a new DNS and a corresponding VHOST to make the website functional.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Log Analysis, Maintaining documents of production server error log's reports.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Monitor Production Server Health of different parameters (System Load, Swap Memory, Hard disk, Apache requests,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Mailq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) via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Zenoos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and Cloud Watch.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Maintained and configured Web server: Apache and Application servers (Tomcat).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On Call support For Production environments</w:t>
            </w:r>
          </w:p>
        </w:tc>
      </w:tr>
    </w:tbl>
    <w:p w:rsidR="00844B71" w:rsidRDefault="00844B71"/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9537"/>
      </w:tblGrid>
      <w:tr w:rsidR="00047CFC" w:rsidRPr="00C1273C" w:rsidTr="0085275E">
        <w:trPr>
          <w:cantSplit/>
          <w:trHeight w:val="2041"/>
        </w:trPr>
        <w:tc>
          <w:tcPr>
            <w:tcW w:w="573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EXPERICENCE</w:t>
            </w:r>
          </w:p>
        </w:tc>
        <w:tc>
          <w:tcPr>
            <w:tcW w:w="9687" w:type="dxa"/>
            <w:vAlign w:val="center"/>
          </w:tcPr>
          <w:p w:rsidR="00047CFC" w:rsidRPr="00C1273C" w:rsidRDefault="00047CFC" w:rsidP="008527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Working as a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AWS Cloud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Administrator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in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MOURI Tech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from June'14 to Till date </w:t>
            </w:r>
          </w:p>
          <w:p w:rsidR="00047CFC" w:rsidRPr="00C1273C" w:rsidRDefault="00047CFC" w:rsidP="008527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047CFC" w:rsidRDefault="00047CFC"/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9357"/>
      </w:tblGrid>
      <w:tr w:rsidR="00047CFC" w:rsidRPr="00C1273C" w:rsidTr="0085275E">
        <w:trPr>
          <w:cantSplit/>
          <w:trHeight w:val="1563"/>
        </w:trPr>
        <w:tc>
          <w:tcPr>
            <w:tcW w:w="563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9517" w:type="dxa"/>
            <w:vAlign w:val="center"/>
          </w:tcPr>
          <w:p w:rsidR="00047CFC" w:rsidRPr="00C1273C" w:rsidRDefault="00047CFC" w:rsidP="008527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B.Tech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from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JNTU University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 the year 2013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047CFC" w:rsidRPr="00C1273C" w:rsidRDefault="00047CFC" w:rsidP="0085275E">
            <w:pPr>
              <w:autoSpaceDE w:val="0"/>
              <w:autoSpaceDN w:val="0"/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C1273C">
              <w:rPr>
                <w:rFonts w:cs="Calibri"/>
                <w:b/>
                <w:color w:val="000000" w:themeColor="text1"/>
                <w:sz w:val="24"/>
                <w:szCs w:val="24"/>
              </w:rPr>
              <w:t>+2</w:t>
            </w:r>
            <w:r w:rsidRPr="00C1273C">
              <w:rPr>
                <w:rFonts w:cs="Calibri"/>
                <w:color w:val="000000" w:themeColor="text1"/>
                <w:sz w:val="24"/>
                <w:szCs w:val="24"/>
              </w:rPr>
              <w:t xml:space="preserve"> from Board of Intermediate, Andhra Pradesh in the year of 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2008</w:t>
            </w:r>
            <w:r w:rsidRPr="00C1273C">
              <w:rPr>
                <w:rFonts w:cs="Calibri"/>
                <w:color w:val="000000" w:themeColor="text1"/>
                <w:sz w:val="24"/>
                <w:szCs w:val="24"/>
              </w:rPr>
              <w:t>.</w:t>
            </w:r>
          </w:p>
          <w:p w:rsidR="00047CFC" w:rsidRPr="00C1273C" w:rsidRDefault="00047CFC" w:rsidP="008527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cs="Calibri"/>
                <w:b/>
                <w:color w:val="000000" w:themeColor="text1"/>
                <w:sz w:val="24"/>
                <w:szCs w:val="24"/>
              </w:rPr>
              <w:t>SSC</w:t>
            </w:r>
            <w:r w:rsidRPr="00C1273C">
              <w:rPr>
                <w:rFonts w:cs="Calibri"/>
                <w:color w:val="000000" w:themeColor="text1"/>
                <w:sz w:val="24"/>
                <w:szCs w:val="24"/>
              </w:rPr>
              <w:t xml:space="preserve"> from Secondary School of Education, Andhra Pradesh in the year of 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2006</w:t>
            </w:r>
            <w:r w:rsidRPr="00C1273C">
              <w:rPr>
                <w:rFonts w:cs="Calibri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047CFC" w:rsidRDefault="00047CFC"/>
    <w:tbl>
      <w:tblPr>
        <w:tblStyle w:val="TableGrid"/>
        <w:tblW w:w="10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9424"/>
      </w:tblGrid>
      <w:tr w:rsidR="00047CFC" w:rsidRPr="00C1273C" w:rsidTr="0085275E">
        <w:trPr>
          <w:cantSplit/>
          <w:trHeight w:val="6583"/>
        </w:trPr>
        <w:tc>
          <w:tcPr>
            <w:tcW w:w="554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TECHNICAL SKILL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593" w:type="dxa"/>
            <w:vAlign w:val="center"/>
          </w:tcPr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7338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Technical Skills:</w:t>
            </w:r>
            <w:r w:rsidRPr="0063733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637338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Worked on Amazon Web Services (EC2, ELB, VPC, S3, Cloud Front, IAM, RDS, Route 53, Cloud Watch, </w:t>
            </w:r>
            <w:proofErr w:type="gram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SNS</w:t>
            </w:r>
            <w:proofErr w:type="gram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).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Server's, Domain's and Database's migration on Amazon Web Services.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Log Analysis, Maintaining documents of production server error log's reports.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Software Tools: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Cloud Knowledge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AWS (Amazon Web Ser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vices)</w:t>
            </w:r>
          </w:p>
          <w:p w:rsidR="00047CFC" w:rsidRPr="00C1273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Operating System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</w:t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LINUX (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SuSE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, Cent,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RedHat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), WINDOWS.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Monitoring tools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</w:t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CloudWatch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Nagios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Datadog</w:t>
            </w:r>
            <w:proofErr w:type="spellEnd"/>
            <w:proofErr w:type="gram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633CD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IT Management &amp; system security: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ITIL, ticketing tool (Service Now, BMC Remedy, JIRA),</w:t>
            </w:r>
          </w:p>
          <w:p w:rsidR="00047CFC" w:rsidRDefault="00047CFC" w:rsidP="0085275E">
            <w:pPr>
              <w:spacing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Active directory domain services, VMware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vSphere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, Remote desktop services.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Active Directory Domain Services, Windows File Cluster resources, GPO Management, DNS, DHCP, TCP/IP, SMTP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Virtual &amp; Physical Infrastructure: Implementation, Managed &amp; Maintained physical and virtual Infrastructure.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Automation Patch Management tool (EC2Systems Manager, BMC Server Automation tool)</w:t>
            </w:r>
          </w:p>
          <w:p w:rsidR="00047CFC" w:rsidRDefault="00047CFC" w:rsidP="0085275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47CFC" w:rsidRPr="00C1273C" w:rsidRDefault="00047CFC" w:rsidP="0085275E"/>
        </w:tc>
      </w:tr>
    </w:tbl>
    <w:p w:rsidR="00047CFC" w:rsidRDefault="00047CFC"/>
    <w:tbl>
      <w:tblPr>
        <w:tblStyle w:val="TableGrid"/>
        <w:tblpPr w:leftFromText="180" w:rightFromText="180" w:vertAnchor="text" w:horzAnchor="margin" w:tblpY="-421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809"/>
      </w:tblGrid>
      <w:tr w:rsidR="00047CFC" w:rsidRPr="00C1273C" w:rsidTr="0085275E">
        <w:trPr>
          <w:cantSplit/>
          <w:trHeight w:val="13325"/>
        </w:trPr>
        <w:tc>
          <w:tcPr>
            <w:tcW w:w="534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           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             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 PROJECT</w:t>
            </w:r>
          </w:p>
        </w:tc>
        <w:tc>
          <w:tcPr>
            <w:tcW w:w="9809" w:type="dxa"/>
            <w:vAlign w:val="center"/>
          </w:tcPr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Designation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AWS Cloud Administrator </w:t>
            </w: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Client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>MOURI Tech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Area of work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>AWS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,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LINUX</w:t>
            </w:r>
            <w:proofErr w:type="gramEnd"/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. </w:t>
            </w: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047CFC" w:rsidRPr="00C1273C" w:rsidRDefault="00047CFC" w:rsidP="0085275E">
            <w:pPr>
              <w:autoSpaceDE w:val="0"/>
              <w:autoSpaceDN w:val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Job Profile Key Responsibilities: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Involved in designing and deploying AWS infrastructure (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IaaS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) utilizing almost all of the AWS components like EC2, S3, IAM, Route53, RDS,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CloudWatch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CloudFront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CloudFormation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EC2 Systems Manager,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AutoScaling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VPC, AWS Direct connect, Elastic Load balancer, Trusted advisor, Amazon Glacier, AWS Lambda.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Implementing AWS Security Groups and NACL (Access control list) for Additional Layer of Security.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 and Implementing Disaster Recovery and Fault for AWS services.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Setting up AWS Cloud watch and Custom Metrics for AWS services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Created S3 buckets and managed policies using IAM roles for S3 buckets and used S3 bucket and Glacier for storing historical data.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Setting up AWS RDS (AZ-Failover and Read replicas</w:t>
            </w:r>
            <w:proofErr w:type="gram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 .</w:t>
            </w:r>
            <w:proofErr w:type="gramEnd"/>
          </w:p>
          <w:p w:rsidR="00047CFC" w:rsidRPr="00A36353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Automating Infrastructure using multiple AWS Cloud formation templates and updating the resources with the help of helper scripts.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A36353"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  <w:t>Installation of Netback-up master and media servers.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Implementing AWS Cloud Front for the newly built websites.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Implemented Backup &amp; Recovery, S3 life cycle management, reduced costs by creating Customized Alarms. Managed Billing across several AWS accounts and reduced costs by effectively utilizing the resources.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Setup &amp; configured EIP to EC2 instances.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Setup &amp; managed security groups for Inbound\Outbound access, VPCs specific to environment.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Created AMI of EC2 instances using AWS CLI and IAM security best practices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Designing and deploying highly scalable infrastructure using ELB, 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OpsWork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and Auto scaling services </w:t>
            </w:r>
          </w:p>
          <w:p w:rsidR="00047CFC" w:rsidRPr="00A36353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Created and Managed DNS entries using Route53 to route traffic between different regions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A36353"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  <w:t>Configuring the policy attributes for taking the back-up of clients.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Created load balancers (ELB) and used Route53 wit failover and latency options for high availability and fault tolerance </w:t>
            </w:r>
          </w:p>
          <w:p w:rsidR="00047CFC" w:rsidRPr="00A36353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Configured &amp; managed automation of windows patching using EC2 systems manager </w:t>
            </w: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>In case of Azure creating storage account virtual network with blob from azure market place (</w:t>
            </w:r>
            <w:proofErr w:type="spellStart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IaaS</w:t>
            </w:r>
            <w:proofErr w:type="spellEnd"/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A36353"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  <w:t>Providing data for weekly and monthly report to senior management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Documented system logs, error reports, capacity reports, monthly project report, risk registers, Users access enablement\disablement review from Active directory , AWS console &amp; Azure portal, Security changes reviews, patch compliance report with the Microsoft security baseline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Created &amp; developed the SOPs\technical notes on AWS and Azure related tasks, Best Practice document, check list within project and to practice 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eastAsia="Times New Roman" w:hAnsiTheme="minorHAnsi" w:cstheme="minorHAnsi"/>
                <w:noProof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Knowledge on migration using AWS server migration service to migrate on-premises workloads to AWS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W w:w="10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9304"/>
      </w:tblGrid>
      <w:tr w:rsidR="00047CFC" w:rsidRPr="00C1273C" w:rsidTr="00047CFC">
        <w:trPr>
          <w:cantSplit/>
          <w:trHeight w:val="5949"/>
        </w:trPr>
        <w:tc>
          <w:tcPr>
            <w:tcW w:w="723" w:type="dxa"/>
            <w:shd w:val="clear" w:color="auto" w:fill="DAEEF3"/>
            <w:textDirection w:val="btLr"/>
          </w:tcPr>
          <w:p w:rsidR="00047CFC" w:rsidRPr="00C1273C" w:rsidRDefault="00047CFC" w:rsidP="0085275E">
            <w:pPr>
              <w:ind w:left="113" w:right="113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9304" w:type="dxa"/>
            <w:vAlign w:val="center"/>
          </w:tcPr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Designation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System Administrator </w:t>
            </w: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Client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>MOURI Tech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047CFC" w:rsidRPr="00C1273C" w:rsidRDefault="00047CFC" w:rsidP="0085275E">
            <w:pPr>
              <w:autoSpaceDE w:val="0"/>
              <w:autoSpaceDN w:val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Area of work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: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         </w:t>
            </w:r>
            <w:r w:rsidRPr="00C1273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LINUX</w:t>
            </w: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47CFC" w:rsidRPr="00C852F6" w:rsidRDefault="00047CFC" w:rsidP="008527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852F6">
              <w:rPr>
                <w:rFonts w:asciiTheme="minorHAnsi" w:hAnsiTheme="minorHAnsi" w:cstheme="minorHAnsi"/>
                <w:b/>
                <w:sz w:val="24"/>
                <w:szCs w:val="24"/>
              </w:rPr>
              <w:t>Job Profile Key Responsibilities: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Installation and configuration of RHEL (Red Hat Enterprise Linux).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Creating and managing users and groups.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Kernel patching on Red Hat Linux.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Installing Packages according to the requirement.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Managing Red Hat package manager &amp; YUM server.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 xml:space="preserve">Good proficiency in Logical Volume Manager (LVM). 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Adding disks to volume groups and creating file systems.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Handling incidents related to file system, CPU and Memory.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 xml:space="preserve">Scheduled various regular and periodic tasks by using </w:t>
            </w:r>
            <w:proofErr w:type="spellStart"/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crontab</w:t>
            </w:r>
            <w:proofErr w:type="spellEnd"/>
            <w:r w:rsidRPr="00C1273C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Responsible for setting up NFS server and client, FTP servers, Apache, Samba Installation and configuration.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Monitoring system performance of virtual memory, managing swap space, disk utilization and CPU utilization by using various tools.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Implementing NFS server configurations.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Working with various Teams to fulfill their requirements.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Installing, configuring and maintaining the Mail Server based on Client requirement.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Worked with File systems include ext3, ext4 and NFS.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 xml:space="preserve">Checking the data consistency of file system using </w:t>
            </w:r>
            <w:proofErr w:type="spellStart"/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fsck</w:t>
            </w:r>
            <w:proofErr w:type="spellEnd"/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Checking the logs to resolve the issues</w:t>
            </w:r>
          </w:p>
          <w:p w:rsidR="00047CFC" w:rsidRPr="00C1273C" w:rsidRDefault="00047CFC" w:rsidP="008527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273C">
              <w:rPr>
                <w:rFonts w:asciiTheme="minorHAnsi" w:hAnsiTheme="minorHAnsi" w:cstheme="minorHAnsi"/>
                <w:sz w:val="24"/>
                <w:szCs w:val="24"/>
              </w:rPr>
              <w:t>Managing various services and processed running on the servers</w:t>
            </w:r>
          </w:p>
          <w:p w:rsidR="00047CFC" w:rsidRPr="00C1273C" w:rsidRDefault="00047CFC" w:rsidP="0085275E">
            <w:pPr>
              <w:spacing w:line="360" w:lineRule="auto"/>
              <w:jc w:val="both"/>
              <w:rPr>
                <w:rFonts w:cs="Times New Roman"/>
                <w:b/>
                <w:color w:val="000000" w:themeColor="text1"/>
              </w:rPr>
            </w:pPr>
          </w:p>
          <w:p w:rsidR="00047CFC" w:rsidRPr="00C1273C" w:rsidRDefault="00047CFC" w:rsidP="0085275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047CFC" w:rsidRDefault="00047CFC"/>
    <w:sectPr w:rsidR="00047CFC" w:rsidSect="008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470A2"/>
    <w:multiLevelType w:val="hybridMultilevel"/>
    <w:tmpl w:val="923A3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20F1F"/>
    <w:multiLevelType w:val="hybridMultilevel"/>
    <w:tmpl w:val="9E967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47CFC"/>
    <w:rsid w:val="00047CFC"/>
    <w:rsid w:val="00331B08"/>
    <w:rsid w:val="00844B71"/>
    <w:rsid w:val="009117EB"/>
    <w:rsid w:val="00A4490F"/>
    <w:rsid w:val="00A72F70"/>
    <w:rsid w:val="00E3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FC"/>
    <w:pPr>
      <w:spacing w:after="200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FC"/>
    <w:pPr>
      <w:spacing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47C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rasad51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1116</Words>
  <Characters>6367</Characters>
  <Application>Microsoft Office Word</Application>
  <DocSecurity>0</DocSecurity>
  <Lines>53</Lines>
  <Paragraphs>14</Paragraphs>
  <ScaleCrop>false</ScaleCrop>
  <Company>CtrlSoft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2017-11-21T05:46:00Z</dcterms:created>
  <dcterms:modified xsi:type="dcterms:W3CDTF">2017-11-23T04:31:00Z</dcterms:modified>
</cp:coreProperties>
</file>