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7555"/>
        <w:tblGridChange w:id="0">
          <w:tblGrid>
            <w:gridCol w:w="1795"/>
            <w:gridCol w:w="755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32599e" w:val="clea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 OVERVIEW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DAVID MBACHA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ERP/IT OFFICER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FINANCE DEPARTMENT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LINE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HEAD OF FINANCE</w:t>
            </w:r>
          </w:p>
        </w:tc>
      </w:tr>
    </w:tbl>
    <w:p w:rsidR="00000000" w:rsidDel="00000000" w:rsidP="00000000" w:rsidRDefault="00000000" w:rsidRPr="00000000" w14:paraId="0000000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5"/>
        <w:gridCol w:w="7465"/>
        <w:tblGridChange w:id="0">
          <w:tblGrid>
            <w:gridCol w:w="1885"/>
            <w:gridCol w:w="746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f5496" w:val="clear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RESPONSIBILITY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FUNCTIONS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charge of the ERP and providing technical support and training to the Enterprise Resource Planning (ERP) end-users.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Analyzing existing infrastructure and performing IT system enhancements.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charge of acquiring and repairing all official laptops and printers.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ensure total compliance in the usage of the work suite by all staff.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with the internet providers for all reconciliations and ensure internet availability at all times in the office.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 staff's first point of call for all laptops and printers that malfunction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Keeping abreast of the latest ERP upgrades and offerings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Liaise with the consultants to ensure optimal usage of the work suite.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Involved in writing customized programs and scripts, as well as configuring ERP applications.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Developing user-friendly IT functionalities and interfaces.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Providing updated information on all IT issues and the work suite.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Performing diagnostic tests and resolving issues to optimize performance.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Preparing development progress updates and documenting ERP processes.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Attend to any other responsibilities assigned by the management.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PERFORMANCE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Percentage of time the ERP system is available and fully functional.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Percentage of employees actively using the enterprise system.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Percentage of time internet services are available in the office without interruptions.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Percentage of IT Incidents Resolved within First Attempt without the need for escalation.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Percentage of Successful ERP Upgrades &amp; System Implementations.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86.0" w:type="dxa"/>
        <w:jc w:val="left"/>
        <w:tblLayout w:type="fixed"/>
        <w:tblLook w:val="0000"/>
      </w:tblPr>
      <w:tblGrid>
        <w:gridCol w:w="2226"/>
        <w:gridCol w:w="7460"/>
        <w:tblGridChange w:id="0">
          <w:tblGrid>
            <w:gridCol w:w="2226"/>
            <w:gridCol w:w="746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Incumbent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 Manager’s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0</wp:posOffset>
          </wp:positionV>
          <wp:extent cx="7753350" cy="30099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943600" cy="446468"/>
          <wp:effectExtent b="0" l="0" r="0" t="0"/>
          <wp:docPr id="1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5759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cs="Arial MT" w:eastAsia="Arial MT" w:hAnsi="Arial MT"/>
    </w:rPr>
  </w:style>
  <w:style w:type="paragraph" w:styleId="TableParagraph" w:customStyle="1">
    <w:name w:val="Table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cs="Arial MT" w:eastAsia="Arial MT" w:hAnsi="Arial M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zRTieQXpxZFlw7wNj5rH4dP/RA==">CgMxLjA4AHIhMV90NzJQQ0hvUHhHQ3lTcklITEJQMkVUVVA4ekZxQVQt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2026-03-11T13:26:00Z</dcterms:created>
  <dc:creator>DELL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