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OLUWASIJIBOMI AKINSOHUN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FLEET OPERATIONS MANAGER (LAGOS)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OPERATIONS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MANAGING DIRECTOR</w:t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7015"/>
        <w:tblGridChange w:id="0">
          <w:tblGrid>
            <w:gridCol w:w="2335"/>
            <w:gridCol w:w="7015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 with all fleet-related clients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 up on the Supervisor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 escalations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performance report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Maintenance of Vehicle Record File Folders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Monitors Purchasing Parts and Materials; Cost Code and Processing Bills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 of Parts and Supplies Inventory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Repair Reports and Proposals Management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Warranty Consideration Reporting 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Fleet Efficiency and Utilization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a utilization rate of at least 90% of the available fleet.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 vehicle downtime to less than 5% of operational hours. 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Safety, Maintenance, and Compliance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 accident rate by 20% within the next 12 months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 100% compliance with all regulatory transport requirements within the next 6 months by conducting regular audits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100% adherence to scheduled maintenance for all vehicles. 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Operational Efficiency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Increase the on-time delivery rate by 15% within the year by optimizing routes and providing driver training 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 Management and Development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≥ 80% of the operation team members complete at least one professional development program related to transport by December 2025.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Retain at least 85% of drivers annually. 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Budget Management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compliance with the allocated marketing budget with a variance of no more than 5%.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Growth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 a 15% year-over-year growth in revenue from logistics operations.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Retain 90% of existing clients annually through excellent service delivery. 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Corporate Bus Deployment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 100% deployment of staff buses for corporate use before the end of Q4 of the current year.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Deploy and maintain a fleet of at least 50 buses for shuttle services between your assigned region before the end of Q4 of the current year.</w:t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12.0" w:type="dxa"/>
        <w:jc w:val="left"/>
        <w:tblLayout w:type="fixed"/>
        <w:tblLook w:val="0000"/>
      </w:tblPr>
      <w:tblGrid>
        <w:gridCol w:w="2209"/>
        <w:gridCol w:w="7403"/>
        <w:tblGridChange w:id="0">
          <w:tblGrid>
            <w:gridCol w:w="2209"/>
            <w:gridCol w:w="7403"/>
          </w:tblGrid>
        </w:tblGridChange>
      </w:tblGrid>
      <w:tr>
        <w:trPr>
          <w:cantSplit w:val="0"/>
          <w:trHeight w:val="37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sgFDNO3GMoAsK09BmqaDUv0Gag==">CgMxLjA4AHIhMTNEbkFFMEVjdXlfNDh2N0xYUllDaXA3MHhuWkNaWVhL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2026-03-11T10:19:00Z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