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5"/>
        <w:gridCol w:w="7555"/>
        <w:tblGridChange w:id="0">
          <w:tblGrid>
            <w:gridCol w:w="1795"/>
            <w:gridCol w:w="755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32599e" w:val="clear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 OVERVIEW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NWAOHA MICHAEL ONYEKWERE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Health, Safety &amp; Environment (HSE) Executive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INTERNAL CONTROL DEPARTMENT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 LINE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INTERNAL CONTROL MANAGER</w:t>
            </w:r>
          </w:p>
        </w:tc>
      </w:tr>
    </w:tbl>
    <w:p w:rsidR="00000000" w:rsidDel="00000000" w:rsidP="00000000" w:rsidRDefault="00000000" w:rsidRPr="00000000" w14:paraId="0000000C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5"/>
        <w:gridCol w:w="7465"/>
        <w:tblGridChange w:id="0">
          <w:tblGrid>
            <w:gridCol w:w="1885"/>
            <w:gridCol w:w="746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f5496" w:val="clear"/>
          </w:tcPr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RESPONSIBILITY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FUNCTIONS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Develop, implement, and monitor HSE policies, procedures, and guidelines across the group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Continually up to date with I H S and other clients' HSE expectations, especially in reporting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Conduct regular workplace inspections, risk assessments, and audits to identify hazards and ensure compliance.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Lead incident/accident investigations, prepare reports, and implement corrective/preventive measures, and timely submission to the stakeholders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Organize HSE induction, awareness, and training programs for staff and contractors.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Ensure compliance with local, state, and international HSE regulations and standards.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Promote a culture of safety, environmental sustainability, and wellness across the organization.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Maintain good official relationships with all clients to ensure a timely and easy flow of communication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Implement a system to track and document safety targets (accidents, infractions) across all company clients. 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Implement and adopt a formal Root Cause Analysis (RCA) procedure for all incidents. </w:t>
            </w:r>
          </w:p>
          <w:p w:rsidR="00000000" w:rsidDel="00000000" w:rsidP="00000000" w:rsidRDefault="00000000" w:rsidRPr="00000000" w14:paraId="0000001B">
            <w:pPr>
              <w:spacing w:before="40" w:lineRule="auto"/>
              <w:rPr>
                <w:b w:val="1"/>
                <w:bCs w:val="1"/>
                <w:color w:val="171717"/>
              </w:rPr>
            </w:pPr>
            <w:r w:rsidDel="00000000" w:rsidR="00000000" w:rsidRPr="00000000">
              <w:rPr>
                <w:b w:val="1"/>
                <w:bCs w:val="1"/>
                <w:color w:val="171717"/>
                <w:rtl w:val="0"/>
              </w:rPr>
              <w:t xml:space="preserve">Quality Control (QC):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Develop and maintain quality control procedures, manuals, and checklists.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Inspect and test materials, processes, and products to ensure they meet required quality standards.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Maintain accurate QC records and prepare reports for management review.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Identify areas for quality improvements and recommend corrective actions.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Monitor suppliers and subcontractors to ensure quality compliance.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Support continuous improvement initiatives for better standards and results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Supervise and coordinate the activities of security personnel across all assigned posts.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Conduct regular patrols and inspections to ensure safety and security standards are maintained.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Manage emergency response protocols, including fire, theft, accidents, or other crises.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Maintain visitor and incident records, ensuring accurate documentation.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Ensure compliance with company security policies and procedures.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spacing w:after="28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Investigate security breaches, incidents, or suspicious activities and recommend corrective actions.</w:t>
            </w:r>
          </w:p>
        </w:tc>
      </w:tr>
    </w:tbl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 PERFORMANCE INDICATORS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8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83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80% and above Safety Audit score by all clients, especially I H S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83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Incidence report submission not more than 12 hours after the occurrence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83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Monthly incidence rate and near miss not more than 2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83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100% availability of First Aid box items at all times 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835" w:right="259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Corrective action closure plans submission within 24 hours of incidence 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835" w:right="259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80% all time customer satisfaction majorly from driver performance metrics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83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Zero tolerance for security breaches or theft incidents.</w:t>
            </w:r>
          </w:p>
        </w:tc>
      </w:tr>
    </w:tbl>
    <w:p w:rsidR="00000000" w:rsidDel="00000000" w:rsidP="00000000" w:rsidRDefault="00000000" w:rsidRPr="00000000" w14:paraId="00000032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86.0" w:type="dxa"/>
        <w:jc w:val="left"/>
        <w:tblLayout w:type="fixed"/>
        <w:tblLook w:val="0000"/>
      </w:tblPr>
      <w:tblGrid>
        <w:gridCol w:w="2226"/>
        <w:gridCol w:w="7460"/>
        <w:tblGridChange w:id="0">
          <w:tblGrid>
            <w:gridCol w:w="2226"/>
            <w:gridCol w:w="746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Incumbent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Line Manager’s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0</wp:posOffset>
          </wp:positionV>
          <wp:extent cx="7753350" cy="300990"/>
          <wp:effectExtent b="0" l="0" r="0" t="0"/>
          <wp:wrapNone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5943600" cy="446468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5759B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cs="Arial MT" w:eastAsia="Arial MT" w:hAnsi="Arial MT"/>
    </w:rPr>
  </w:style>
  <w:style w:type="paragraph" w:styleId="TableParagraph" w:customStyle="1">
    <w:name w:val="Table Paragraph"/>
    <w:basedOn w:val="Normal"/>
    <w:uiPriority w:val="1"/>
    <w:qFormat w:val="1"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cs="Arial MT" w:eastAsia="Arial MT" w:hAnsi="Arial M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45H0uVwV4Ok1X/9l45SJMPh5OA==">CgMxLjA4AHIhMXpidEFfNXppeFhtZDFOWEZoLWtVVlVoMXExRjZ3anQ3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2026-03-12T13:35:00Z</dcterms:created>
  <dc:creator>DELL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