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ENEANOH MMACHIMEREM UGONNA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HEAD OF OPERATIONS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OPERATIONS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MANAGING DIRECTOR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Regional Operations Management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Oversee daily operational activities across all company facilities within the assigned region.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smooth coordination of fleet services, workshop operations, and administrative support functions.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operational efficiency and address challenges affecting service delivery.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all operational processes comply with company policies and regulatory requirements.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Fleet &amp; Logistics Oversight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vehicle utilization, maintenance schedules, and operational availability.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Coordinate with Workshop Manager to ensure timely vehicle servicing and repairs.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drivers and operational staff follow safety and operational procedures.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fuel usage, operational costs, and vehicle performance.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Leadership &amp; Supervision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Supervise regional operational staff, including workshop personnel, drivers, attendants, facility staff, and support teams.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Assign responsibilities and monitor staff performance.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Address operational challenges and ensure effective team coordination.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recruitment and training of operational staff where necessary.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Operational Performance &amp; Reporting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operational performance indicators across the region.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operational reports and performance summaries for executive management.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Identify opportunities for improving operational efficiency and cost management.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Compliance, Safety &amp; Quality Assurance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adherence to safety standards, transport regulations, and operational policies.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Monitor incident reports and implement corrective measures where required.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high standards for service quality and customer satisfaction. </w:t>
            </w:r>
          </w:p>
        </w:tc>
      </w:tr>
    </w:tbl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9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 minimum fleet availability of 90–95% across the region.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95% on-time service delivery for scheduled operations.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 vehicle downtime to less than 10% per month.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100% compliance with operational safety and regulatory standards.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 90%+ operational staff performance compliance with company policies. </w:t>
            </w:r>
          </w:p>
        </w:tc>
      </w:tr>
    </w:tbl>
    <w:p w:rsidR="00000000" w:rsidDel="00000000" w:rsidP="00000000" w:rsidRDefault="00000000" w:rsidRPr="00000000" w14:paraId="0000002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86.0" w:type="dxa"/>
        <w:jc w:val="left"/>
        <w:tblLayout w:type="fixed"/>
        <w:tblLook w:val="0000"/>
      </w:tblPr>
      <w:tblGrid>
        <w:gridCol w:w="2226"/>
        <w:gridCol w:w="7460"/>
        <w:tblGridChange w:id="0">
          <w:tblGrid>
            <w:gridCol w:w="2226"/>
            <w:gridCol w:w="746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2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sgb7LviZ4IGO5yDOjREMja8Eqg==">CgMxLjA4AHIhMVZPWWNvSEFLM29uNzBkelhKOUxXSFNzQTJWZVFTTi0x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2026-03-13T08:49:00Z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