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EMEKA PRECIOUS OKORO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INTERNAL CONTROL MANAGER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ensure compliance, quality, and best value for all the group’s expenditures.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Periodic Service Evaluation exercise of all our clients.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Review and approve fleet repairs Work Orders before the final payment authorization.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ensure staff compliance with the bi-weekly marketing strategy and keep necessary backup data.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ensure that there is constant power in the office and monitor the usage of PMS.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carry out a market survey to minimize cost.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seek for new fleet vendors and maintain the existing ones for the smooth running of the business.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liaise with the account department for timely payment for all repairs.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Responsible for the scheduled and unscheduled maintenance of company assets and facilities to ensure safe and economical usage.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appropriate sourcing strategies that align with the group's corporate direction.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Drive all other aspects of corporate procurement, including vendor research, needs analysis with internal stakeholders, and initial negotiations for potential purchases.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Negotiate with both existing and potential vendors to maximize the company’s purchasing power and standardize products and services.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processes that need to be improved to ensure a smooth workflow in the group.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compliance with policies and procedures on company Asset usage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 inventory management of office supplies, printed materials, and copier/printer-related supplies.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Oversee the repair and maintenance operation for all the company assets and facilities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carry out other responsibilities from the General Manager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Managing Director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Audit Implemented or covered within the audit cycle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Completing Audit Reports.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Cycle time for completing Draft Audit Reports.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Cycle time for completing Final Audit Reports.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cases of fraud issues detected by 3rd parties (External Auditors) during audit exercises (but not detected by Internal Auditors).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transport-related regulations and laws complied with.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reports completed within timelines.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Percentage of Optimal Asset Utilization.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kzd30gpuHAJXMDC3OU+2J/y4CQ==">CgMxLjA4AHIhMU5IQWNPNURCYXdkbGtuLWVRNURzeVdBd0VLa2JTSGJi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2026-03-11T13:06:00Z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