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TUNMIE JOHNSON EKANMBAKUMO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FLEET SUPERVISOR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HEAD OF OPERATIONS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7015"/>
        <w:tblGridChange w:id="0">
          <w:tblGrid>
            <w:gridCol w:w="2335"/>
            <w:gridCol w:w="701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availability report on staff buses/</w:t>
            </w:r>
            <w:r w:rsidDel="00000000" w:rsidR="00000000" w:rsidRPr="00000000">
              <w:rPr>
                <w:rtl w:val="0"/>
              </w:rPr>
              <w:t xml:space="preserve">OPVs.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with customers/bus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with drivers on route optimization.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reports on daily vehicle availability and usage.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871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and follow up on repairs of buses</w:t>
            </w:r>
            <w:r w:rsidDel="00000000" w:rsidR="00000000" w:rsidRPr="00000000">
              <w:rPr>
                <w:rtl w:val="0"/>
              </w:rPr>
              <w:t xml:space="preserve">/OPVs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the workshop.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with drivers and report drivers' welfare complaints, if any.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Routine inspection of all buses/OPVs (bi-weekly)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5"/>
              </w:tabs>
              <w:spacing w:after="0" w:before="0" w:line="360" w:lineRule="auto"/>
              <w:ind w:left="720" w:right="1065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each vehicle’s documentation is complete and up to date. 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preparation, follow up, and sign JCC on or before the 10th of every month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JCC for intervention and other in-house repairs within 24 hours of disbursement of funds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renewal, updating, and recording of documents by the Fleet manager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that driver particulars, such as licenses, etc., are renewed monthly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confirmation of driver’s welfare complaints is treated with utmost priority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feedback report on driver competency and welfare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maintenance costs by 15% within the next 12 months, optimizing maintenance schedules and procedures.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Driver/ Regulatory Compliance Rate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100% regulatory compliance, ensuring that all vehicles and drivers meet relevant laws and regulations within the next 12 months.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a monthly report and submit it on or before the 25th of each month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Quarterly report on research on ways and methods to optimize fleet operations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a complete incident report weekly on Mondays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12.0" w:type="dxa"/>
        <w:jc w:val="left"/>
        <w:tblLayout w:type="fixed"/>
        <w:tblLook w:val="0000"/>
      </w:tblPr>
      <w:tblGrid>
        <w:gridCol w:w="2209"/>
        <w:gridCol w:w="7403"/>
        <w:tblGridChange w:id="0">
          <w:tblGrid>
            <w:gridCol w:w="2209"/>
            <w:gridCol w:w="7403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color="ffffff" w:space="0" w:sz="4" w:val="single"/>
        <w:bottom w:color="ffffff" w:space="0" w:sz="4" w:val="single"/>
        <w:right w:color="ffffff" w:space="0" w:sz="4" w:val="single"/>
        <w:between w:space="0" w:sz="0" w:val="nil"/>
      </w:pBdr>
      <w:shd w:fill="f2f2f2" w:val="clear"/>
      <w:spacing w:after="382" w:before="0" w:line="264" w:lineRule="auto"/>
      <w:ind w:left="476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71717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character" w:styleId="Heading1Char" w:customStyle="1">
    <w:name w:val="Heading 1 Char"/>
    <w:basedOn w:val="DefaultParagraphFont"/>
    <w:link w:val="Heading1"/>
    <w:uiPriority w:val="9"/>
    <w:rsid w:val="00535D26"/>
    <w:rPr>
      <w:rFonts w:ascii="Arial" w:cs="Arial" w:eastAsia="Arial" w:hAnsi="Arial"/>
      <w:b w:val="1"/>
      <w:color w:val="171717"/>
      <w:kern w:val="2"/>
      <w:szCs w:val="24"/>
      <w:shd w:color="auto" w:fill="f2f2f2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eh+O/vgu1RKZQ+QuxJYD6gB3Q==">CgMxLjA4AHIhMTQzb0hJTjZiNm9IRFBybnBDdDFhaHN5QXhsQno4ckww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2026-03-10T13:35:00Z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