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At Renbi Women Empowerment Initiative, we place great importance on monitoring and evaluating our programs to gather data and track outcomes. This is crucial for our organization as we strive to maintain high standards for the benefit of our donors, communities, and the women we serve.</w:t>
      </w:r>
    </w:p>
    <w:p w:rsidR="00000000" w:rsidDel="00000000" w:rsidP="00000000" w:rsidRDefault="00000000" w:rsidRPr="00000000" w14:paraId="00000002">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Our comprehensive evaluation process focuses mainly on the effectiveness of our program, particularly the success achieved by women in their personal lives through our programs. By analyzing this data, we are able to ensure that our efforts are truly making a difference and empowering women to lead better lives. We believe that this approach is essential for achieving our goals and fulfilling our mission to promote women's empowerment and equality.</w:t>
      </w:r>
    </w:p>
    <w:p w:rsidR="00000000" w:rsidDel="00000000" w:rsidP="00000000" w:rsidRDefault="00000000" w:rsidRPr="00000000" w14:paraId="00000003">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Our evaluation process also involves ensuring financial accountability on the part of the women we work with. We train them on how to monitor their spending and comprehend their financial situation. We provide resources and education on financial planning and budgeting to assist women in understanding money management. If required, we also assist women in opening bank accounts, so they have a safe location to store their money.</w:t>
      </w:r>
    </w:p>
    <w:p w:rsidR="00000000" w:rsidDel="00000000" w:rsidP="00000000" w:rsidRDefault="00000000" w:rsidRPr="00000000" w14:paraId="00000004">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Our aim is to support women in taking control of their finances and making smart financial decisions that benefit themselves and their families. Ultimately, we strive to promote these women's financial stability and independence, so that they may contribute to their communities' economic development and progress.</w:t>
      </w:r>
    </w:p>
    <w:p w:rsidR="00000000" w:rsidDel="00000000" w:rsidP="00000000" w:rsidRDefault="00000000" w:rsidRPr="00000000" w14:paraId="00000005">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Our solution is long-term and continuous. Once a woman joins our network, we become committed to maintaining contact and providing ongoing support to ensure that she has access to the necessary resources and assistance needed to attain financial independence, consistent with our organization's objectives.</w:t>
      </w:r>
    </w:p>
    <w:p w:rsidR="00000000" w:rsidDel="00000000" w:rsidP="00000000" w:rsidRDefault="00000000" w:rsidRPr="00000000" w14:paraId="00000006">
      <w:pPr>
        <w:spacing w:after="240" w:befor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07">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 the appropriate image for this could be the picture of the fulani woman selling perishable food</w:t>
      </w:r>
    </w:p>
    <w:p w:rsidR="00000000" w:rsidDel="00000000" w:rsidP="00000000" w:rsidRDefault="00000000" w:rsidRPr="00000000" w14:paraId="00000008">
      <w:pPr>
        <w:spacing w:after="240" w:before="240" w:lineRule="auto"/>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