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Northstar Labs | Employee Handbook</w:t>
      </w:r>
    </w:p>
    <w:p>
      <w:pPr>
        <w:jc w:val="center"/>
      </w:pPr>
      <w:r>
        <w:t>Fictional test document • Revision 3 • Effective 1 September 2026</w:t>
      </w:r>
    </w:p>
    <w:p>
      <w:r>
        <w:t>This handbook describes internal practices at Northstar Labs, a fictional Malaysian software company. It was created solely for testing retrieval-augmented generation (RAG) systems.</w:t>
      </w:r>
    </w:p>
    <w:p>
      <w:pPr>
        <w:pStyle w:val="Heading1"/>
      </w:pPr>
      <w:r>
        <w:t>1. Office locations and hours</w:t>
      </w:r>
    </w:p>
    <w:p>
      <w:r>
        <w:t>Northstar Labs headquarters is in Cyberjaya, Selangor. Its smaller customer support office is in Shah Alam, Selangor.</w:t>
      </w:r>
    </w:p>
    <w:p>
      <w:r>
        <w:t>The standard workday is Monday to Friday, 9:00 a.m. to 6:00 p.m., including a one-hour lunch break. Customer support staff work rotating shifts; the shift roster is issued every Thursday.</w:t>
      </w:r>
    </w:p>
    <w:p>
      <w:r>
        <w:t>Employees may work from home on Tuesdays and Thursdays with manager approval. New employees are expected to attend the Cyberjaya office for their first ten working days.</w:t>
      </w:r>
    </w:p>
    <w:p>
      <w:pPr>
        <w:pStyle w:val="Heading1"/>
      </w:pPr>
      <w:r>
        <w:t>2. Leave and probation</w:t>
      </w:r>
    </w:p>
    <w:p>
      <w:r>
        <w:t>Full-time employees receive 16 days of annual leave per calendar year. Employees apply for annual leave at least five working days before the proposed start date.</w:t>
      </w:r>
    </w:p>
    <w:p>
      <w:r>
        <w:t>The probation period for a new full-time employee is three months. A manager may extend probation once for an additional two months after a documented review.</w:t>
      </w:r>
    </w:p>
    <w:p>
      <w:r>
        <w:t>Sick leave must be reported to the direct manager before 10:00 a.m. on the day of absence. The handbook does not specify a paid sick-leave day allowance; employees should consult their employment contract.</w:t>
      </w:r>
    </w:p>
    <w:p>
      <w:pPr>
        <w:pStyle w:val="Heading1"/>
      </w:pPr>
      <w:r>
        <w:t>3. Equipment and IT support</w:t>
      </w:r>
    </w:p>
    <w:p>
      <w:r>
        <w:t>New software engineers receive a company laptop, a USB-C docking station, and one 27-inch monitor. Noise-cancelling headphones are available by request, subject to stock.</w:t>
      </w:r>
    </w:p>
    <w:p>
      <w:r>
        <w:t>For a lost laptop, employees must inform the IT security team immediately by emailing security@northstarlabs.example and submit an incident report within 24 hours.</w:t>
      </w:r>
    </w:p>
    <w:p>
      <w:r>
        <w:t>Normal IT helpdesk requests go to helpdesk@northstarlabs.example. The helpdesk target for routine requests is two business days; urgent security incidents are not subject to that routine target.</w:t>
      </w:r>
    </w:p>
    <w:p>
      <w:pPr>
        <w:pStyle w:val="Heading1"/>
      </w:pPr>
      <w:r>
        <w:t>4. Engineering and deployment</w:t>
      </w:r>
    </w:p>
    <w:p>
      <w:r>
        <w:t>The engineering team uses Python for backend services, PostgreSQL for relational data, and GitHub Actions for continuous integration.</w:t>
      </w:r>
    </w:p>
    <w:p>
      <w:r>
        <w:t>Production deployments normally occur on Wednesdays between 2:00 p.m. and 4:00 p.m. Malaysia time. Emergency security fixes may be deployed outside this window with approval from the engineering lead.</w:t>
      </w:r>
    </w:p>
    <w:p>
      <w:r>
        <w:t>Every production pull request requires one peer reviewer and passing automated tests. Changes to payment-processing services require two reviewers.</w:t>
      </w:r>
    </w:p>
    <w:p>
      <w:r>
        <w:t>Version 3 of the internal API is scheduled for release on 18 November 2026. This date is a plan, not a guarantee.</w:t>
      </w:r>
    </w:p>
    <w:p>
      <w:pPr>
        <w:pStyle w:val="Heading1"/>
      </w:pPr>
      <w:r>
        <w:t>5. Training and reimbursement</w:t>
      </w:r>
    </w:p>
    <w:p>
      <w:r>
        <w:t>Each permanent employee has a training reimbursement budget of RM1,200 per calendar year, subject to manager approval and submission of receipts.</w:t>
      </w:r>
    </w:p>
    <w:p>
      <w:r>
        <w:t>Employees can claim approved exam fees within the RM1,200 annual budget. The company does not guarantee reimbursement for failed exam attempts.</w:t>
      </w:r>
    </w:p>
    <w:p>
      <w:r>
        <w:t>Lunch expenses are not covered by the training budget. Domestic travel expenses follow a separate travel policy, which is not included in this handbook.</w:t>
      </w:r>
    </w:p>
    <w:p>
      <w:pPr>
        <w:pStyle w:val="Heading1"/>
      </w:pPr>
      <w:r>
        <w:t>6. Customer support service levels</w:t>
      </w:r>
    </w:p>
    <w:p>
      <w:r>
        <w:t>The standard customer support response target is four business hours for normal-priority tickets and 30 minutes for critical-priority tickets.</w:t>
      </w:r>
    </w:p>
    <w:p>
      <w:r>
        <w:t>Normal-priority tickets are handled during support business hours. The four-hour response target is not a promise of resolution within four hours.</w:t>
      </w:r>
    </w:p>
    <w:p>
      <w:r>
        <w:t>Customer support agents should escalate unresolved critical incidents to the on-call engineering lead after 60 minutes.</w:t>
      </w:r>
    </w:p>
    <w:p>
      <w:pPr>
        <w:pStyle w:val="Heading1"/>
      </w:pPr>
      <w:r>
        <w:t>7. Information not provided</w:t>
      </w:r>
    </w:p>
    <w:p>
      <w:r>
        <w:t>This handbook does not state the CEO’s name, individual employee salaries, the company’s revenue, paid sick-leave entitlements, or the details of the travel policy.</w:t>
      </w:r>
    </w:p>
    <w:p>
      <w:r>
        <w:t>Do not infer answers to those subjects from the company location, training allowance, or other unrelated statements.</w:t>
      </w:r>
    </w:p>
    <w:p>
      <w:pPr>
        <w:pStyle w:val="Caption"/>
      </w:pPr>
      <w:r>
        <w:t>End of fictional handbook</w:t>
      </w:r>
    </w:p>
    <w:sectPr w:rsidR="00FC693F" w:rsidRPr="0006063C" w:rsidSect="00034616">
      <w:pgSz w:w="12240" w:h="15840"/>
      <w:pgMar w:top="1080" w:right="1800" w:bottom="1008" w:left="1800" w:header="57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