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1" w:name="X7b7e2d8e4f7973df5509d8712444f641017145a"/>
    <w:p>
      <w:pPr>
        <w:pStyle w:val="Heading1"/>
      </w:pPr>
      <w:r>
        <w:t xml:space="preserve">Aegis Risk Management Platform: Complete Documentation</w:t>
      </w:r>
    </w:p>
    <w:bookmarkStart w:id="24" w:name="executive-summary"/>
    <w:p>
      <w:pPr>
        <w:pStyle w:val="Heading2"/>
      </w:pPr>
      <w:r>
        <w:t xml:space="preserve">1. Executive Summary</w:t>
      </w:r>
    </w:p>
    <w:bookmarkStart w:id="20" w:name="platform-overview-and-business-value"/>
    <w:p>
      <w:pPr>
        <w:pStyle w:val="Heading3"/>
      </w:pPr>
      <w:r>
        <w:t xml:space="preserve">1.1. Platform Overview and Business Value</w:t>
      </w:r>
    </w:p>
    <w:p>
      <w:pPr>
        <w:pStyle w:val="FirstParagraph"/>
      </w:pPr>
      <w:r>
        <w:t xml:space="preserve">The Aegis Risk Management Platform is a comprehensive, enterprise-grade cybersecurity solution that provides a centralized system for managing risks, tracking assets, and automating security assessments. By integrating advanced AI capabilities, Aegis streamlines risk management workflows, enhances decision-making, and reduces the manual effort required to maintain a strong security posture. The platform’s business value lies in its ability to provide a real-time, unified view of risk, enabling organizations to proactively address threats, ensure compliance, and align security initiatives with business objectives.</w:t>
      </w:r>
    </w:p>
    <w:bookmarkEnd w:id="20"/>
    <w:bookmarkStart w:id="21" w:name="key-features-and-capabilities"/>
    <w:p>
      <w:pPr>
        <w:pStyle w:val="Heading3"/>
      </w:pPr>
      <w:r>
        <w:t xml:space="preserve">1.2. Key Features and Capabilities</w:t>
      </w:r>
    </w:p>
    <w:p>
      <w:pPr>
        <w:pStyle w:val="FirstParagraph"/>
      </w:pPr>
      <w:r>
        <w:t xml:space="preserve">Aegis offers a robust set of features, including: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Centralized Risk Register</w:t>
      </w:r>
      <w:r>
        <w:t xml:space="preserve">: A unified system for tracking and managing all identified risks.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Asset Management</w:t>
      </w:r>
      <w:r>
        <w:t xml:space="preserve">: A complete inventory of organizational assets with categorization and ownership.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AI-Powered Analysis</w:t>
      </w:r>
      <w:r>
        <w:t xml:space="preserve">: Automated evidence review, risk statement generation, and compliance reporting.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Multi-LLM Support</w:t>
      </w:r>
      <w:r>
        <w:t xml:space="preserve">: Integration with over 14 LLM providers, including OpenAI, Google Gemini, and Anthropic Claude.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Role-Based Dashboards</w:t>
      </w:r>
      <w:r>
        <w:t xml:space="preserve">: Tailored views for CISOs, analysts, and system owners.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External Integrations</w:t>
      </w:r>
      <w:r>
        <w:t xml:space="preserve">: Seamless connections with OpenVAS, OpenCTI, and Microsoft Entra ID.</w:t>
      </w:r>
    </w:p>
    <w:bookmarkEnd w:id="21"/>
    <w:bookmarkStart w:id="22" w:name="target-user-personas-and-use-cases"/>
    <w:p>
      <w:pPr>
        <w:pStyle w:val="Heading3"/>
      </w:pPr>
      <w:r>
        <w:t xml:space="preserve">1.3. Target User Personas and Use Cases</w:t>
      </w:r>
    </w:p>
    <w:p>
      <w:pPr>
        <w:pStyle w:val="FirstParagraph"/>
      </w:pPr>
      <w:r>
        <w:t xml:space="preserve">Aegis is designed for a range of cybersecurity professionals: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CISO/Security Director</w:t>
      </w:r>
      <w:r>
        <w:t xml:space="preserve">: Gains a high-level view of the organization’s risk posture for strategic decision-making.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Cybersecurity Analyst/GRC Specialist</w:t>
      </w:r>
      <w:r>
        <w:t xml:space="preserve">: Utilizes the Analyst Workbench for day-to-day risk assessment and evidence management.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IT Manager/System Owner</w:t>
      </w:r>
      <w:r>
        <w:t xml:space="preserve">: Manages assigned tasks and attests to security controls through a dedicated inbox.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Internal/External Auditor</w:t>
      </w:r>
      <w:r>
        <w:t xml:space="preserve">: Accesses a comprehensive audit trail and verifies compliance evidence.</w:t>
      </w:r>
    </w:p>
    <w:bookmarkEnd w:id="22"/>
    <w:bookmarkStart w:id="23" w:name="roi-and-efficiency-benefits"/>
    <w:p>
      <w:pPr>
        <w:pStyle w:val="Heading3"/>
      </w:pPr>
      <w:r>
        <w:t xml:space="preserve">1.4. ROI and Efficiency Benefits</w:t>
      </w:r>
    </w:p>
    <w:p>
      <w:pPr>
        <w:pStyle w:val="FirstParagraph"/>
      </w:pPr>
      <w:r>
        <w:t xml:space="preserve">Aegis delivers a strong return on investment by: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Reducing Manual Effort</w:t>
      </w:r>
      <w:r>
        <w:t xml:space="preserve">: Automating repetitive tasks such as evidence analysis and report generation.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Improving Efficiency</w:t>
      </w:r>
      <w:r>
        <w:t xml:space="preserve">: Streamlining risk management workflows and providing a single source of truth.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Enhancing Accuracy</w:t>
      </w:r>
      <w:r>
        <w:t xml:space="preserve">: Leveraging AI to ensure consistent and accurate risk assessments.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Accelerating Compliance</w:t>
      </w:r>
      <w:r>
        <w:t xml:space="preserve">: Simplifying audit preparations and providing a clear view of compliance status.</w:t>
      </w:r>
    </w:p>
    <w:bookmarkEnd w:id="23"/>
    <w:bookmarkEnd w:id="24"/>
    <w:bookmarkStart w:id="30" w:name="complete-deployment-guide"/>
    <w:p>
      <w:pPr>
        <w:pStyle w:val="Heading2"/>
      </w:pPr>
      <w:r>
        <w:t xml:space="preserve">2. Complete Deployment Guide</w:t>
      </w:r>
    </w:p>
    <w:bookmarkStart w:id="25" w:name="system-requirements-and-prerequisites"/>
    <w:p>
      <w:pPr>
        <w:pStyle w:val="Heading3"/>
      </w:pPr>
      <w:r>
        <w:t xml:space="preserve">2.1. System Requirements and Prerequisites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OS</w:t>
      </w:r>
      <w:r>
        <w:t xml:space="preserve">: Linux, macOS, or Windows (with WSL2)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RAM</w:t>
      </w:r>
      <w:r>
        <w:t xml:space="preserve">: 16GB+ recommended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Storage</w:t>
      </w:r>
      <w:r>
        <w:t xml:space="preserve">: 20GB+ free space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CPU</w:t>
      </w:r>
      <w:r>
        <w:t xml:space="preserve">: 4+ cores recommended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Software</w:t>
      </w:r>
      <w:r>
        <w:t xml:space="preserve">: Docker and Docker Compose</w:t>
      </w:r>
    </w:p>
    <w:bookmarkEnd w:id="25"/>
    <w:bookmarkStart w:id="26" w:name="docker-deployment-instructions"/>
    <w:p>
      <w:pPr>
        <w:pStyle w:val="Heading3"/>
      </w:pPr>
      <w:r>
        <w:t xml:space="preserve">2.2. Docker Deployment Instructions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Clone the Repository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repository-url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aegis-platform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Configure Environment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</w:t>
      </w:r>
      <w:r>
        <w:br/>
      </w:r>
      <w:r>
        <w:rPr>
          <w:rStyle w:val="FunctionTok"/>
        </w:rPr>
        <w:t xml:space="preserve">nano</w:t>
      </w:r>
      <w:r>
        <w:rPr>
          <w:rStyle w:val="NormalTok"/>
        </w:rPr>
        <w:t xml:space="preserve"> .env 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Deploy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+x deploy.sh</w:t>
      </w:r>
      <w:r>
        <w:br/>
      </w:r>
      <w:r>
        <w:rPr>
          <w:rStyle w:val="ExtensionTok"/>
        </w:rPr>
        <w:t xml:space="preserve">./deploy.sh</w:t>
      </w:r>
    </w:p>
    <w:bookmarkEnd w:id="26"/>
    <w:bookmarkStart w:id="27" w:name="environment-configuration"/>
    <w:p>
      <w:pPr>
        <w:pStyle w:val="Heading3"/>
      </w:pPr>
      <w:r>
        <w:t xml:space="preserve">2.3. Environment Configuration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 contains over 150 configuration variables. Key settings include: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Security</w:t>
      </w:r>
      <w:r>
        <w:t xml:space="preserve">:</w:t>
      </w:r>
      <w:r>
        <w:t xml:space="preserve"> </w:t>
      </w:r>
      <w:r>
        <w:rPr>
          <w:rStyle w:val="VerbatimChar"/>
        </w:rPr>
        <w:t xml:space="preserve">SECRET_KEY</w:t>
      </w:r>
      <w:r>
        <w:t xml:space="preserve">,</w:t>
      </w:r>
      <w:r>
        <w:t xml:space="preserve"> </w:t>
      </w:r>
      <w:r>
        <w:rPr>
          <w:rStyle w:val="VerbatimChar"/>
        </w:rPr>
        <w:t xml:space="preserve">JWT_SECRET_KEY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Database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POSTGRES_PASSWORD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AI Providers</w:t>
      </w:r>
      <w:r>
        <w:t xml:space="preserve">:</w:t>
      </w:r>
      <w:r>
        <w:t xml:space="preserve"> </w:t>
      </w:r>
      <w:r>
        <w:rPr>
          <w:rStyle w:val="VerbatimChar"/>
        </w:rPr>
        <w:t xml:space="preserve">OPENAI_API_KEY</w:t>
      </w:r>
      <w:r>
        <w:t xml:space="preserve">,</w:t>
      </w:r>
      <w:r>
        <w:t xml:space="preserve"> </w:t>
      </w:r>
      <w:r>
        <w:rPr>
          <w:rStyle w:val="VerbatimChar"/>
        </w:rPr>
        <w:t xml:space="preserve">AZURE_OPENAI_API_KEY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Integrations</w:t>
      </w:r>
      <w:r>
        <w:t xml:space="preserve">:</w:t>
      </w:r>
      <w:r>
        <w:t xml:space="preserve"> </w:t>
      </w:r>
      <w:r>
        <w:rPr>
          <w:rStyle w:val="VerbatimChar"/>
        </w:rPr>
        <w:t xml:space="preserve">OPENVAS_HOST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OPENCTI_URL</w:t>
      </w:r>
      <w:r>
        <w:t xml:space="preserve">,</w:t>
      </w:r>
      <w:r>
        <w:t xml:space="preserve"> </w:t>
      </w:r>
      <w:r>
        <w:rPr>
          <w:rStyle w:val="VerbatimChar"/>
        </w:rPr>
        <w:t xml:space="preserve">AZURE_CLIENT_ID</w:t>
      </w:r>
    </w:p>
    <w:bookmarkEnd w:id="27"/>
    <w:bookmarkStart w:id="28" w:name="database-setup"/>
    <w:p>
      <w:pPr>
        <w:pStyle w:val="Heading3"/>
      </w:pPr>
      <w:r>
        <w:t xml:space="preserve">2.4. Database Setup</w:t>
      </w:r>
    </w:p>
    <w:p>
      <w:pPr>
        <w:pStyle w:val="FirstParagraph"/>
      </w:pPr>
      <w:r>
        <w:t xml:space="preserve">The platform uses a PostgreSQL database, which is automatically initialized during the Docker deployment. To connect manually: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exec </w:t>
      </w:r>
      <w:r>
        <w:rPr>
          <w:rStyle w:val="AttributeTok"/>
        </w:rPr>
        <w:t xml:space="preserve">-it</w:t>
      </w:r>
      <w:r>
        <w:rPr>
          <w:rStyle w:val="NormalTok"/>
        </w:rPr>
        <w:t xml:space="preserve"> aegis-db psql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aegis_user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aegis_db</w:t>
      </w:r>
    </w:p>
    <w:bookmarkEnd w:id="28"/>
    <w:bookmarkStart w:id="29" w:name="security-and-hardening"/>
    <w:p>
      <w:pPr>
        <w:pStyle w:val="Heading3"/>
      </w:pPr>
      <w:r>
        <w:t xml:space="preserve">2.5. Security and Hardening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Change Default Credentials</w:t>
      </w:r>
      <w:r>
        <w:t xml:space="preserve">: Update all default keys and passwords.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Network Security</w:t>
      </w:r>
      <w:r>
        <w:t xml:space="preserve">: Use a reverse proxy and enable HTTPS.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File Permissions</w:t>
      </w:r>
      <w:r>
        <w:t xml:space="preserve">: Secure the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 with</w:t>
      </w:r>
      <w:r>
        <w:t xml:space="preserve"> </w:t>
      </w:r>
      <w:r>
        <w:rPr>
          <w:rStyle w:val="VerbatimChar"/>
        </w:rPr>
        <w:t xml:space="preserve">chmod 600 .env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 Updates</w:t>
      </w:r>
      <w:r>
        <w:t xml:space="preserve">: Keep all software components up to date.</w:t>
      </w:r>
    </w:p>
    <w:bookmarkEnd w:id="29"/>
    <w:bookmarkEnd w:id="30"/>
    <w:bookmarkStart w:id="34" w:name="multi-llm-provider-configuration"/>
    <w:p>
      <w:pPr>
        <w:pStyle w:val="Heading2"/>
      </w:pPr>
      <w:r>
        <w:t xml:space="preserve">3. Multi-LLM Provider Configuration</w:t>
      </w:r>
    </w:p>
    <w:bookmarkStart w:id="31" w:name="supported-providers"/>
    <w:p>
      <w:pPr>
        <w:pStyle w:val="Heading3"/>
      </w:pPr>
      <w:r>
        <w:t xml:space="preserve">3.1. Supported Providers</w:t>
      </w:r>
    </w:p>
    <w:p>
      <w:pPr>
        <w:pStyle w:val="FirstParagraph"/>
      </w:pPr>
      <w:r>
        <w:t xml:space="preserve">Aegis supports over 14 LLM providers, including: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Cloud</w:t>
      </w:r>
      <w:r>
        <w:t xml:space="preserve">: OpenAI, Azure OpenAI, Google Gemini, Anthropic Claude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Aggregation</w:t>
      </w:r>
      <w:r>
        <w:t xml:space="preserve">: LiteLLM, OpenRouter, Together AI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Local</w:t>
      </w:r>
      <w:r>
        <w:t xml:space="preserve">: Ollama, LM Studio, Text Generation WebUI</w:t>
      </w:r>
    </w:p>
    <w:bookmarkEnd w:id="31"/>
    <w:bookmarkStart w:id="32" w:name="configuration-examples"/>
    <w:p>
      <w:pPr>
        <w:pStyle w:val="Heading3"/>
      </w:pPr>
      <w:r>
        <w:t xml:space="preserve">3.2. Configuration Examples</w:t>
      </w:r>
    </w:p>
    <w:p>
      <w:pPr>
        <w:pStyle w:val="FirstParagraph"/>
      </w:pPr>
      <w:r>
        <w:t xml:space="preserve">Enable and configure providers in the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OpenAI</w:t>
      </w:r>
      <w:r>
        <w:t xml:space="preserve">:</w:t>
      </w:r>
      <w:r>
        <w:t xml:space="preserve"> </w:t>
      </w:r>
      <w:r>
        <w:rPr>
          <w:rStyle w:val="VerbatimChar"/>
        </w:rPr>
        <w:t xml:space="preserve">bash   ENABLE_OPENAI=true   OPENAI_API_KEY=sk-your-api-key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Azure OpenAI</w:t>
      </w:r>
      <w:r>
        <w:t xml:space="preserve">:</w:t>
      </w:r>
      <w:r>
        <w:t xml:space="preserve"> </w:t>
      </w:r>
      <w:r>
        <w:rPr>
          <w:rStyle w:val="VerbatimChar"/>
        </w:rPr>
        <w:t xml:space="preserve">bash   ENABLE_AZURE_OPENAI=true   AZURE_OPENAI_API_KEY=your-key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Ollama</w:t>
      </w:r>
      <w:r>
        <w:t xml:space="preserve">:</w:t>
      </w:r>
      <w:r>
        <w:t xml:space="preserve"> </w:t>
      </w:r>
      <w:r>
        <w:rPr>
          <w:rStyle w:val="VerbatimChar"/>
        </w:rPr>
        <w:t xml:space="preserve">bash   ENABLE_OLLAMA=true   OLLAMA_BASE_URL=http://localhost:11434</w:t>
      </w:r>
    </w:p>
    <w:bookmarkEnd w:id="32"/>
    <w:bookmarkStart w:id="33" w:name="advanced-features"/>
    <w:p>
      <w:pPr>
        <w:pStyle w:val="Heading3"/>
      </w:pPr>
      <w:r>
        <w:t xml:space="preserve">3.3. Advanced Features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Failover</w:t>
      </w:r>
      <w:r>
        <w:t xml:space="preserve">: Automatically switches to a backup provider if the primary fails.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Cost Optimization</w:t>
      </w:r>
      <w:r>
        <w:t xml:space="preserve">: Tracks and manages costs across different providers.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Performance Monitoring</w:t>
      </w:r>
      <w:r>
        <w:t xml:space="preserve">: Monitors the health and performance of all enabled providers.</w:t>
      </w:r>
    </w:p>
    <w:bookmarkEnd w:id="33"/>
    <w:bookmarkEnd w:id="34"/>
    <w:bookmarkStart w:id="39" w:name="user-guides-by-persona"/>
    <w:p>
      <w:pPr>
        <w:pStyle w:val="Heading2"/>
      </w:pPr>
      <w:r>
        <w:t xml:space="preserve">4. User Guides by Persona</w:t>
      </w:r>
    </w:p>
    <w:bookmarkStart w:id="35" w:name="cisosecurity-director"/>
    <w:p>
      <w:pPr>
        <w:pStyle w:val="Heading3"/>
      </w:pPr>
      <w:r>
        <w:t xml:space="preserve">4.1. CISO/Security Director</w:t>
      </w:r>
    </w:p>
    <w:p>
      <w:pPr>
        <w:pStyle w:val="FirstParagraph"/>
      </w:pPr>
      <w:r>
        <w:t xml:space="preserve">The CISO Cockpit provides an executive-level view of the organization’s risk posture, including key metrics, risk trends, and compliance status.</w:t>
      </w:r>
    </w:p>
    <w:bookmarkEnd w:id="35"/>
    <w:bookmarkStart w:id="36" w:name="cybersecurity-analystgrc-specialist"/>
    <w:p>
      <w:pPr>
        <w:pStyle w:val="Heading3"/>
      </w:pPr>
      <w:r>
        <w:t xml:space="preserve">4.2. Cybersecurity Analyst/GRC Specialist</w:t>
      </w:r>
    </w:p>
    <w:p>
      <w:pPr>
        <w:pStyle w:val="FirstParagraph"/>
      </w:pPr>
      <w:r>
        <w:t xml:space="preserve">The Analyst Workbench is the primary interface for managing risks, conducting assessments, and reviewing evidence. It includes a task management system to track remediation efforts.</w:t>
      </w:r>
    </w:p>
    <w:bookmarkEnd w:id="36"/>
    <w:bookmarkStart w:id="37" w:name="it-managersystem-owner"/>
    <w:p>
      <w:pPr>
        <w:pStyle w:val="Heading3"/>
      </w:pPr>
      <w:r>
        <w:t xml:space="preserve">4.3. IT Manager/System Owner</w:t>
      </w:r>
    </w:p>
    <w:p>
      <w:pPr>
        <w:pStyle w:val="FirstParagraph"/>
      </w:pPr>
      <w:r>
        <w:t xml:space="preserve">The System Owner Inbox displays all assigned tasks and control attestation requests, allowing system owners to upload evidence and confirm compliance.</w:t>
      </w:r>
    </w:p>
    <w:bookmarkEnd w:id="37"/>
    <w:bookmarkStart w:id="38" w:name="internalexternal-auditor"/>
    <w:p>
      <w:pPr>
        <w:pStyle w:val="Heading3"/>
      </w:pPr>
      <w:r>
        <w:t xml:space="preserve">4.4. Internal/External Auditor</w:t>
      </w:r>
    </w:p>
    <w:p>
      <w:pPr>
        <w:pStyle w:val="FirstParagraph"/>
      </w:pPr>
      <w:r>
        <w:t xml:space="preserve">Auditors have read-only access to the platform’s audit trail, evidence repository, and compliance reports, enabling them to verify controls and validate assessments.</w:t>
      </w:r>
    </w:p>
    <w:bookmarkEnd w:id="38"/>
    <w:bookmarkEnd w:id="39"/>
    <w:bookmarkStart w:id="43" w:name="technical-architecture"/>
    <w:p>
      <w:pPr>
        <w:pStyle w:val="Heading2"/>
      </w:pPr>
      <w:r>
        <w:t xml:space="preserve">5. Technical Architecture</w:t>
      </w:r>
    </w:p>
    <w:bookmarkStart w:id="40" w:name="system-architecture"/>
    <w:p>
      <w:pPr>
        <w:pStyle w:val="Heading3"/>
      </w:pPr>
      <w:r>
        <w:t xml:space="preserve">5.1. System Architecture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Backend</w:t>
      </w:r>
      <w:r>
        <w:t xml:space="preserve">: FastAPI with a modular, service-oriented architecture.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Frontend</w:t>
      </w:r>
      <w:r>
        <w:t xml:space="preserve">: React + TypeScript for a responsive and modern user interface.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Database</w:t>
      </w:r>
      <w:r>
        <w:t xml:space="preserve">: PostgreSQL for robust and reliable data storage.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Authentication</w:t>
      </w:r>
      <w:r>
        <w:t xml:space="preserve">: JWT with optional integration with Microsoft Entra ID.</w:t>
      </w:r>
    </w:p>
    <w:bookmarkEnd w:id="40"/>
    <w:bookmarkStart w:id="41" w:name="database-schema"/>
    <w:p>
      <w:pPr>
        <w:pStyle w:val="Heading3"/>
      </w:pPr>
      <w:r>
        <w:t xml:space="preserve">5.2. Database Schema</w:t>
      </w:r>
    </w:p>
    <w:p>
      <w:pPr>
        <w:pStyle w:val="FirstParagraph"/>
      </w:pPr>
      <w:r>
        <w:t xml:space="preserve">The database schema is fully normalized and includes tables for assets, risks, controls, evidence, and users. Alembic is used for database migrations.</w:t>
      </w:r>
    </w:p>
    <w:bookmarkEnd w:id="41"/>
    <w:bookmarkStart w:id="42" w:name="api-documentation"/>
    <w:p>
      <w:pPr>
        <w:pStyle w:val="Heading3"/>
      </w:pPr>
      <w:r>
        <w:t xml:space="preserve">5.3. API Documentation</w:t>
      </w:r>
    </w:p>
    <w:p>
      <w:pPr>
        <w:pStyle w:val="FirstParagraph"/>
      </w:pPr>
      <w:r>
        <w:t xml:space="preserve">A comprehensive REST API reference is available at</w:t>
      </w:r>
      <w:r>
        <w:t xml:space="preserve"> </w:t>
      </w:r>
      <w:r>
        <w:rPr>
          <w:rStyle w:val="VerbatimChar"/>
        </w:rPr>
        <w:t xml:space="preserve">http://localhost:8000/docs</w:t>
      </w:r>
      <w:r>
        <w:t xml:space="preserve"> </w:t>
      </w:r>
      <w:r>
        <w:t xml:space="preserve">after deployment.</w:t>
      </w:r>
    </w:p>
    <w:bookmarkEnd w:id="42"/>
    <w:bookmarkEnd w:id="43"/>
    <w:bookmarkStart w:id="46" w:name="configuration-reference"/>
    <w:p>
      <w:pPr>
        <w:pStyle w:val="Heading2"/>
      </w:pPr>
      <w:r>
        <w:t xml:space="preserve">6. Configuration Reference</w:t>
      </w:r>
    </w:p>
    <w:bookmarkStart w:id="44" w:name="environment-variables"/>
    <w:p>
      <w:pPr>
        <w:pStyle w:val="Heading3"/>
      </w:pPr>
      <w:r>
        <w:t xml:space="preserve">6.1. Environment Variables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 contains over 150 variables for customizing the platform, including settings for the database, AI providers, and external integrations.</w:t>
      </w:r>
    </w:p>
    <w:bookmarkEnd w:id="44"/>
    <w:bookmarkStart w:id="45" w:name="framework-configuration"/>
    <w:p>
      <w:pPr>
        <w:pStyle w:val="Heading3"/>
      </w:pPr>
      <w:r>
        <w:t xml:space="preserve">6.2. Framework Configuration</w:t>
      </w:r>
    </w:p>
    <w:p>
      <w:pPr>
        <w:pStyle w:val="FirstParagraph"/>
      </w:pPr>
      <w:r>
        <w:t xml:space="preserve">Aegis supports NIST CSF and CIS Controls out of the box, with options to configure and customize the risk matrix and assessment workflows.</w:t>
      </w:r>
    </w:p>
    <w:bookmarkEnd w:id="45"/>
    <w:bookmarkEnd w:id="46"/>
    <w:bookmarkStart w:id="50" w:name="administration-guide"/>
    <w:p>
      <w:pPr>
        <w:pStyle w:val="Heading2"/>
      </w:pPr>
      <w:r>
        <w:t xml:space="preserve">7. Administration Guide</w:t>
      </w:r>
    </w:p>
    <w:bookmarkStart w:id="47" w:name="user-management"/>
    <w:p>
      <w:pPr>
        <w:pStyle w:val="Heading3"/>
      </w:pPr>
      <w:r>
        <w:t xml:space="preserve">7.1. User Management</w:t>
      </w:r>
    </w:p>
    <w:p>
      <w:pPr>
        <w:pStyle w:val="FirstParagraph"/>
      </w:pPr>
      <w:r>
        <w:t xml:space="preserve">User roles and permissions can be managed through the admin interface, allowing for granular control over access to different platform features.</w:t>
      </w:r>
    </w:p>
    <w:bookmarkEnd w:id="47"/>
    <w:bookmarkStart w:id="48" w:name="system-monitoring"/>
    <w:p>
      <w:pPr>
        <w:pStyle w:val="Heading3"/>
      </w:pPr>
      <w:r>
        <w:t xml:space="preserve">7.2. System Monitoring</w:t>
      </w:r>
    </w:p>
    <w:p>
      <w:pPr>
        <w:pStyle w:val="FirstParagraph"/>
      </w:pPr>
      <w:r>
        <w:t xml:space="preserve">The platform includes health check endpoints and comprehensive logging to monitor system performance and troubleshoot issues.</w:t>
      </w:r>
    </w:p>
    <w:bookmarkEnd w:id="48"/>
    <w:bookmarkStart w:id="49" w:name="backup-and-recovery"/>
    <w:p>
      <w:pPr>
        <w:pStyle w:val="Heading3"/>
      </w:pPr>
      <w:r>
        <w:t xml:space="preserve">7.3. Backup and Recovery</w:t>
      </w:r>
    </w:p>
    <w:p>
      <w:pPr>
        <w:pStyle w:val="FirstParagraph"/>
      </w:pPr>
      <w:r>
        <w:t xml:space="preserve">Database backups can be created using the</w:t>
      </w:r>
      <w:r>
        <w:t xml:space="preserve"> </w:t>
      </w:r>
      <w:r>
        <w:rPr>
          <w:rStyle w:val="VerbatimChar"/>
        </w:rPr>
        <w:t xml:space="preserve">pg_dump</w:t>
      </w:r>
      <w:r>
        <w:t xml:space="preserve"> </w:t>
      </w:r>
      <w:r>
        <w:t xml:space="preserve">command, and a restore procedure is available for disaster recovery.</w:t>
      </w:r>
    </w:p>
    <w:bookmarkEnd w:id="49"/>
    <w:bookmarkEnd w:id="50"/>
    <w:bookmarkStart w:id="53" w:name="api-documentation-1"/>
    <w:p>
      <w:pPr>
        <w:pStyle w:val="Heading2"/>
      </w:pPr>
      <w:r>
        <w:t xml:space="preserve">8. API Documentation</w:t>
      </w:r>
    </w:p>
    <w:bookmarkStart w:id="51" w:name="rest-api-reference"/>
    <w:p>
      <w:pPr>
        <w:pStyle w:val="Heading3"/>
      </w:pPr>
      <w:r>
        <w:t xml:space="preserve">8.1. REST API Reference</w:t>
      </w:r>
    </w:p>
    <w:p>
      <w:pPr>
        <w:pStyle w:val="FirstParagraph"/>
      </w:pPr>
      <w:r>
        <w:t xml:space="preserve">The complete REST API documentation is generated using Swagger and is accessible at</w:t>
      </w:r>
      <w:r>
        <w:t xml:space="preserve"> </w:t>
      </w:r>
      <w:r>
        <w:rPr>
          <w:rStyle w:val="VerbatimChar"/>
        </w:rPr>
        <w:t xml:space="preserve">http://localhost:8000/docs</w:t>
      </w:r>
      <w:r>
        <w:t xml:space="preserve"> </w:t>
      </w:r>
      <w:r>
        <w:t xml:space="preserve">after deployment.</w:t>
      </w:r>
    </w:p>
    <w:bookmarkEnd w:id="51"/>
    <w:bookmarkStart w:id="52" w:name="authentication"/>
    <w:p>
      <w:pPr>
        <w:pStyle w:val="Heading3"/>
      </w:pPr>
      <w:r>
        <w:t xml:space="preserve">8.2. Authentication</w:t>
      </w:r>
    </w:p>
    <w:p>
      <w:pPr>
        <w:pStyle w:val="FirstParagraph"/>
      </w:pPr>
      <w:r>
        <w:t xml:space="preserve">The API uses JWT for authentication, with an optional OAuth 2.0 integration for Microsoft Entra ID.</w:t>
      </w:r>
    </w:p>
    <w:bookmarkEnd w:id="52"/>
    <w:bookmarkEnd w:id="53"/>
    <w:bookmarkStart w:id="57" w:name="security-and-compliance"/>
    <w:p>
      <w:pPr>
        <w:pStyle w:val="Heading2"/>
      </w:pPr>
      <w:r>
        <w:t xml:space="preserve">9. Security and Compliance</w:t>
      </w:r>
    </w:p>
    <w:bookmarkStart w:id="54" w:name="security-hardening"/>
    <w:p>
      <w:pPr>
        <w:pStyle w:val="Heading3"/>
      </w:pPr>
      <w:r>
        <w:t xml:space="preserve">9.1. Security Hardening</w:t>
      </w:r>
    </w:p>
    <w:p>
      <w:pPr>
        <w:pStyle w:val="FirstParagraph"/>
      </w:pPr>
      <w:r>
        <w:t xml:space="preserve">A detailed security checklist is provided in the deployment guide, covering everything from changing default credentials to configuring a reverse proxy.</w:t>
      </w:r>
    </w:p>
    <w:bookmarkEnd w:id="54"/>
    <w:bookmarkStart w:id="55" w:name="gdprprivacy"/>
    <w:p>
      <w:pPr>
        <w:pStyle w:val="Heading3"/>
      </w:pPr>
      <w:r>
        <w:t xml:space="preserve">9.2. GDPR/Privacy</w:t>
      </w:r>
    </w:p>
    <w:p>
      <w:pPr>
        <w:pStyle w:val="FirstParagraph"/>
      </w:pPr>
      <w:r>
        <w:t xml:space="preserve">The platform includes features to support GDPR compliance, such as data retention policies and comprehensive audit trails.</w:t>
      </w:r>
    </w:p>
    <w:bookmarkEnd w:id="55"/>
    <w:bookmarkStart w:id="56" w:name="sox-compliance"/>
    <w:p>
      <w:pPr>
        <w:pStyle w:val="Heading3"/>
      </w:pPr>
      <w:r>
        <w:t xml:space="preserve">9.3. SOX Compliance</w:t>
      </w:r>
    </w:p>
    <w:p>
      <w:pPr>
        <w:pStyle w:val="FirstParagraph"/>
      </w:pPr>
      <w:r>
        <w:t xml:space="preserve">Aegis helps organizations meet SOX requirements by providing a clear and auditable record of risk management activities.</w:t>
      </w:r>
    </w:p>
    <w:bookmarkEnd w:id="56"/>
    <w:bookmarkEnd w:id="57"/>
    <w:bookmarkStart w:id="60" w:name="troubleshooting-and-support"/>
    <w:p>
      <w:pPr>
        <w:pStyle w:val="Heading2"/>
      </w:pPr>
      <w:r>
        <w:t xml:space="preserve">10. Troubleshooting and Support</w:t>
      </w:r>
    </w:p>
    <w:bookmarkStart w:id="58" w:name="common-issues"/>
    <w:p>
      <w:pPr>
        <w:pStyle w:val="Heading3"/>
      </w:pPr>
      <w:r>
        <w:t xml:space="preserve">10.1. Common Issues</w:t>
      </w:r>
    </w:p>
    <w:p>
      <w:pPr>
        <w:pStyle w:val="FirstParagraph"/>
      </w:pPr>
      <w:r>
        <w:t xml:space="preserve">The deployment guide includes a troubleshooting section that covers common issues such as port conflicts and permission errors.</w:t>
      </w:r>
    </w:p>
    <w:bookmarkEnd w:id="58"/>
    <w:bookmarkStart w:id="59" w:name="support"/>
    <w:p>
      <w:pPr>
        <w:pStyle w:val="Heading3"/>
      </w:pPr>
      <w:r>
        <w:t xml:space="preserve">10.2. Support</w:t>
      </w:r>
    </w:p>
    <w:p>
      <w:pPr>
        <w:pStyle w:val="FirstParagraph"/>
      </w:pPr>
      <w:r>
        <w:t xml:space="preserve">For additional support, please refer to the community forums or contact the support team.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2025-07-08T21:48:13Z</dcterms:created>
  <dcterms:modified xsi:type="dcterms:W3CDTF">2025-07-08T21:48:13Z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